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8F2B0" w14:textId="77777777" w:rsidR="00241FB1" w:rsidRPr="0072410B" w:rsidRDefault="00241FB1" w:rsidP="00F56BD3">
      <w:pPr>
        <w:spacing w:after="0"/>
        <w:jc w:val="center"/>
        <w:rPr>
          <w:rFonts w:ascii="Book Antiqua" w:hAnsi="Book Antiqua" w:cs="Arial"/>
          <w:color w:val="215868" w:themeColor="accent5" w:themeShade="80"/>
          <w:sz w:val="24"/>
          <w:szCs w:val="24"/>
        </w:rPr>
      </w:pPr>
      <w:r w:rsidRPr="0072410B">
        <w:rPr>
          <w:rFonts w:ascii="Book Antiqua" w:hAnsi="Book Antiqua" w:cs="Arial"/>
          <w:color w:val="215868" w:themeColor="accent5" w:themeShade="80"/>
          <w:sz w:val="24"/>
          <w:szCs w:val="24"/>
        </w:rPr>
        <w:t>Resource 2</w:t>
      </w:r>
    </w:p>
    <w:p w14:paraId="390314CB" w14:textId="77777777" w:rsidR="00241FB1" w:rsidRPr="0072410B" w:rsidRDefault="00241FB1" w:rsidP="00F56BD3">
      <w:pPr>
        <w:spacing w:after="0"/>
        <w:jc w:val="center"/>
        <w:rPr>
          <w:rFonts w:ascii="Book Antiqua" w:hAnsi="Book Antiqua" w:cs="Arial"/>
          <w:color w:val="215868" w:themeColor="accent5" w:themeShade="80"/>
          <w:sz w:val="24"/>
          <w:szCs w:val="24"/>
        </w:rPr>
      </w:pPr>
      <w:r w:rsidRPr="0072410B">
        <w:rPr>
          <w:rFonts w:ascii="Book Antiqua" w:hAnsi="Book Antiqua" w:cs="Arial"/>
          <w:color w:val="215868" w:themeColor="accent5" w:themeShade="80"/>
          <w:sz w:val="24"/>
          <w:szCs w:val="24"/>
        </w:rPr>
        <w:t>Measuring the Effectiveness of a Compliance Program</w:t>
      </w:r>
    </w:p>
    <w:p w14:paraId="464174D4" w14:textId="77777777" w:rsidR="00241FB1" w:rsidRPr="0072410B" w:rsidRDefault="00241FB1" w:rsidP="00241FB1">
      <w:pPr>
        <w:pStyle w:val="NoSpacing"/>
        <w:rPr>
          <w:rFonts w:ascii="Book Antiqua" w:hAnsi="Book Antiqua" w:cs="Arial"/>
          <w:sz w:val="24"/>
          <w:szCs w:val="24"/>
        </w:rPr>
      </w:pPr>
    </w:p>
    <w:p w14:paraId="582BD4FC" w14:textId="77777777" w:rsidR="00241FB1" w:rsidRPr="0072410B" w:rsidRDefault="00241FB1" w:rsidP="00241FB1">
      <w:pPr>
        <w:pStyle w:val="NoSpacing"/>
        <w:rPr>
          <w:rFonts w:ascii="Book Antiqua" w:hAnsi="Book Antiqua" w:cs="Arial"/>
          <w:b/>
          <w:color w:val="215868" w:themeColor="accent5" w:themeShade="80"/>
          <w:sz w:val="24"/>
          <w:szCs w:val="24"/>
        </w:rPr>
      </w:pPr>
      <w:r w:rsidRPr="0072410B">
        <w:rPr>
          <w:rFonts w:ascii="Book Antiqua" w:hAnsi="Book Antiqua" w:cs="Arial"/>
          <w:b/>
          <w:color w:val="215868" w:themeColor="accent5" w:themeShade="80"/>
          <w:sz w:val="24"/>
          <w:szCs w:val="24"/>
        </w:rPr>
        <w:t>Boards are charged with staying informed and knowing what questions to ask, but how can they measure the effectiveness of the compliance program?</w:t>
      </w:r>
    </w:p>
    <w:p w14:paraId="2496BDF0" w14:textId="77777777" w:rsidR="00241FB1" w:rsidRPr="0072410B" w:rsidRDefault="00241FB1" w:rsidP="00241FB1">
      <w:pPr>
        <w:pStyle w:val="NoSpacing"/>
        <w:rPr>
          <w:rFonts w:ascii="Book Antiqua" w:hAnsi="Book Antiqua" w:cs="Arial"/>
          <w:color w:val="215868" w:themeColor="accent5" w:themeShade="80"/>
          <w:sz w:val="24"/>
          <w:szCs w:val="24"/>
        </w:rPr>
      </w:pPr>
    </w:p>
    <w:p w14:paraId="4601535D" w14:textId="77777777" w:rsidR="00241FB1" w:rsidRPr="0072410B" w:rsidRDefault="00241FB1" w:rsidP="00241FB1">
      <w:pPr>
        <w:pStyle w:val="NoSpacing"/>
        <w:rPr>
          <w:rFonts w:ascii="Book Antiqua" w:hAnsi="Book Antiqua" w:cs="Arial"/>
          <w:b/>
          <w:color w:val="215868" w:themeColor="accent5" w:themeShade="80"/>
          <w:sz w:val="24"/>
          <w:szCs w:val="24"/>
        </w:rPr>
      </w:pPr>
      <w:r w:rsidRPr="0072410B">
        <w:rPr>
          <w:rFonts w:ascii="Book Antiqua" w:hAnsi="Book Antiqua" w:cs="Arial"/>
          <w:b/>
          <w:color w:val="215868" w:themeColor="accent5" w:themeShade="80"/>
          <w:sz w:val="24"/>
          <w:szCs w:val="24"/>
        </w:rPr>
        <w:t xml:space="preserve">Idea for </w:t>
      </w:r>
      <w:proofErr w:type="gramStart"/>
      <w:r w:rsidRPr="0072410B">
        <w:rPr>
          <w:rFonts w:ascii="Book Antiqua" w:hAnsi="Book Antiqua" w:cs="Arial"/>
          <w:b/>
          <w:color w:val="215868" w:themeColor="accent5" w:themeShade="80"/>
          <w:sz w:val="24"/>
          <w:szCs w:val="24"/>
        </w:rPr>
        <w:t>quality of care</w:t>
      </w:r>
      <w:proofErr w:type="gramEnd"/>
      <w:r w:rsidRPr="0072410B">
        <w:rPr>
          <w:rFonts w:ascii="Book Antiqua" w:hAnsi="Book Antiqua" w:cs="Arial"/>
          <w:b/>
          <w:color w:val="215868" w:themeColor="accent5" w:themeShade="80"/>
          <w:sz w:val="24"/>
          <w:szCs w:val="24"/>
        </w:rPr>
        <w:t xml:space="preserve"> oversight:</w:t>
      </w:r>
    </w:p>
    <w:p w14:paraId="3BE7F2F3" w14:textId="77777777" w:rsidR="00241FB1" w:rsidRPr="0072410B" w:rsidRDefault="00241FB1" w:rsidP="00F56BD3">
      <w:pPr>
        <w:pStyle w:val="NoSpacing"/>
        <w:numPr>
          <w:ilvl w:val="0"/>
          <w:numId w:val="15"/>
        </w:numPr>
        <w:rPr>
          <w:rFonts w:ascii="Book Antiqua" w:hAnsi="Book Antiqua" w:cs="Arial"/>
          <w:sz w:val="24"/>
          <w:szCs w:val="24"/>
        </w:rPr>
      </w:pPr>
      <w:r w:rsidRPr="0072410B">
        <w:rPr>
          <w:rFonts w:ascii="Book Antiqua" w:hAnsi="Book Antiqua" w:cs="Arial"/>
          <w:sz w:val="24"/>
          <w:szCs w:val="24"/>
        </w:rPr>
        <w:t>Establish a board quality committee and make quality care a standing agenda item. (OIG Toolkit for HC Boards)</w:t>
      </w:r>
    </w:p>
    <w:p w14:paraId="4C6017CA" w14:textId="77777777" w:rsidR="00241FB1" w:rsidRPr="0072410B" w:rsidRDefault="00241FB1" w:rsidP="00F56BD3">
      <w:pPr>
        <w:pStyle w:val="NoSpacing"/>
        <w:numPr>
          <w:ilvl w:val="0"/>
          <w:numId w:val="15"/>
        </w:numPr>
        <w:rPr>
          <w:rFonts w:ascii="Book Antiqua" w:hAnsi="Book Antiqua" w:cs="Arial"/>
          <w:sz w:val="24"/>
          <w:szCs w:val="24"/>
        </w:rPr>
      </w:pPr>
      <w:r w:rsidRPr="0072410B">
        <w:rPr>
          <w:rFonts w:ascii="Book Antiqua" w:hAnsi="Book Antiqua" w:cs="Arial"/>
          <w:sz w:val="24"/>
          <w:szCs w:val="24"/>
        </w:rPr>
        <w:t xml:space="preserve">Assure you have sufficient clinical expertise on the board </w:t>
      </w:r>
      <w:proofErr w:type="gramStart"/>
      <w:r w:rsidRPr="0072410B">
        <w:rPr>
          <w:rFonts w:ascii="Book Antiqua" w:hAnsi="Book Antiqua" w:cs="Arial"/>
          <w:sz w:val="24"/>
          <w:szCs w:val="24"/>
        </w:rPr>
        <w:t>in order to</w:t>
      </w:r>
      <w:proofErr w:type="gramEnd"/>
      <w:r w:rsidRPr="0072410B">
        <w:rPr>
          <w:rFonts w:ascii="Book Antiqua" w:hAnsi="Book Antiqua" w:cs="Arial"/>
          <w:sz w:val="24"/>
          <w:szCs w:val="24"/>
        </w:rPr>
        <w:t xml:space="preserve"> guide the </w:t>
      </w:r>
      <w:r w:rsidR="007E490F" w:rsidRPr="0072410B">
        <w:rPr>
          <w:rFonts w:ascii="Book Antiqua" w:hAnsi="Book Antiqua" w:cs="Arial"/>
          <w:sz w:val="24"/>
          <w:szCs w:val="24"/>
        </w:rPr>
        <w:t>non-clinical</w:t>
      </w:r>
      <w:r w:rsidRPr="0072410B">
        <w:rPr>
          <w:rFonts w:ascii="Book Antiqua" w:hAnsi="Book Antiqua" w:cs="Arial"/>
          <w:sz w:val="24"/>
          <w:szCs w:val="24"/>
        </w:rPr>
        <w:t xml:space="preserve"> members (OIG Toolkit for HC Boards)</w:t>
      </w:r>
    </w:p>
    <w:p w14:paraId="1D7D6D1D" w14:textId="77777777" w:rsidR="00241FB1" w:rsidRPr="0072410B" w:rsidRDefault="00241FB1" w:rsidP="00F56BD3">
      <w:pPr>
        <w:pStyle w:val="NoSpacing"/>
        <w:numPr>
          <w:ilvl w:val="0"/>
          <w:numId w:val="15"/>
        </w:numPr>
        <w:rPr>
          <w:rFonts w:ascii="Book Antiqua" w:hAnsi="Book Antiqua" w:cs="Arial"/>
          <w:sz w:val="24"/>
          <w:szCs w:val="24"/>
        </w:rPr>
      </w:pPr>
      <w:r w:rsidRPr="0072410B">
        <w:rPr>
          <w:rFonts w:ascii="Book Antiqua" w:hAnsi="Book Antiqua" w:cs="Arial"/>
          <w:sz w:val="24"/>
          <w:szCs w:val="24"/>
        </w:rPr>
        <w:t>Use a dashboard and benchmarks to measure the success of your organization as it improves outcomes and patient satisfaction. You should track how your organization compares to its peers on these quality indicators. (OIG Toolkit for HC Boards)</w:t>
      </w:r>
    </w:p>
    <w:p w14:paraId="6FCFA502" w14:textId="77777777" w:rsidR="00241FB1" w:rsidRPr="0072410B" w:rsidRDefault="00241FB1" w:rsidP="00F56BD3">
      <w:pPr>
        <w:pStyle w:val="NoSpacing"/>
        <w:numPr>
          <w:ilvl w:val="0"/>
          <w:numId w:val="15"/>
        </w:numPr>
        <w:rPr>
          <w:rFonts w:ascii="Book Antiqua" w:hAnsi="Book Antiqua" w:cs="Arial"/>
          <w:sz w:val="24"/>
          <w:szCs w:val="24"/>
        </w:rPr>
      </w:pPr>
      <w:proofErr w:type="gramStart"/>
      <w:r w:rsidRPr="0072410B">
        <w:rPr>
          <w:rFonts w:ascii="Book Antiqua" w:hAnsi="Book Antiqua" w:cs="Arial"/>
          <w:sz w:val="24"/>
          <w:szCs w:val="24"/>
        </w:rPr>
        <w:t>Assure</w:t>
      </w:r>
      <w:proofErr w:type="gramEnd"/>
      <w:r w:rsidRPr="0072410B">
        <w:rPr>
          <w:rFonts w:ascii="Book Antiqua" w:hAnsi="Book Antiqua" w:cs="Arial"/>
          <w:sz w:val="24"/>
          <w:szCs w:val="24"/>
        </w:rPr>
        <w:t xml:space="preserve"> your organization can validate the accuracy of its quality data. Assure that there is no concealment of unfavorable information.  (OIG Toolkit for HC Boards)</w:t>
      </w:r>
    </w:p>
    <w:p w14:paraId="0BFA35C4" w14:textId="77777777" w:rsidR="00241FB1" w:rsidRPr="0072410B" w:rsidRDefault="00241FB1" w:rsidP="00F56BD3">
      <w:pPr>
        <w:pStyle w:val="NoSpacing"/>
        <w:numPr>
          <w:ilvl w:val="0"/>
          <w:numId w:val="15"/>
        </w:numPr>
        <w:rPr>
          <w:rFonts w:ascii="Book Antiqua" w:hAnsi="Book Antiqua" w:cs="Arial"/>
          <w:sz w:val="24"/>
          <w:szCs w:val="24"/>
        </w:rPr>
      </w:pPr>
      <w:r w:rsidRPr="0072410B">
        <w:rPr>
          <w:rFonts w:ascii="Book Antiqua" w:hAnsi="Book Antiqua" w:cs="Arial"/>
          <w:sz w:val="24"/>
          <w:szCs w:val="24"/>
        </w:rPr>
        <w:t>Best practice is to request that management back up their explanations with factual data not perceptions.</w:t>
      </w:r>
    </w:p>
    <w:p w14:paraId="18ED5362" w14:textId="77777777" w:rsidR="00241FB1" w:rsidRPr="0072410B" w:rsidRDefault="00241FB1" w:rsidP="00F56BD3">
      <w:pPr>
        <w:pStyle w:val="NoSpacing"/>
        <w:numPr>
          <w:ilvl w:val="0"/>
          <w:numId w:val="15"/>
        </w:numPr>
        <w:rPr>
          <w:rFonts w:ascii="Book Antiqua" w:hAnsi="Book Antiqua" w:cs="Arial"/>
          <w:sz w:val="24"/>
          <w:szCs w:val="24"/>
        </w:rPr>
      </w:pPr>
      <w:r w:rsidRPr="0072410B">
        <w:rPr>
          <w:rFonts w:ascii="Book Antiqua" w:hAnsi="Book Antiqua" w:cs="Arial"/>
          <w:sz w:val="24"/>
          <w:szCs w:val="24"/>
        </w:rPr>
        <w:t>Review Hours Per Patient Day (HPPD) data and other staffing measures such as agency usage.</w:t>
      </w:r>
    </w:p>
    <w:p w14:paraId="63A48C66" w14:textId="77777777" w:rsidR="00241FB1" w:rsidRPr="0072410B" w:rsidRDefault="00241FB1" w:rsidP="00F56BD3">
      <w:pPr>
        <w:pStyle w:val="NoSpacing"/>
        <w:numPr>
          <w:ilvl w:val="0"/>
          <w:numId w:val="15"/>
        </w:numPr>
        <w:rPr>
          <w:rFonts w:ascii="Book Antiqua" w:hAnsi="Book Antiqua" w:cs="Arial"/>
          <w:sz w:val="24"/>
          <w:szCs w:val="24"/>
        </w:rPr>
      </w:pPr>
      <w:r w:rsidRPr="0072410B">
        <w:rPr>
          <w:rFonts w:ascii="Book Antiqua" w:hAnsi="Book Antiqua" w:cs="Arial"/>
          <w:sz w:val="24"/>
          <w:szCs w:val="24"/>
        </w:rPr>
        <w:t xml:space="preserve">Request education on quality issues for improved understanding and the ability to evaluate data provided. </w:t>
      </w:r>
      <w:r w:rsidR="007E490F" w:rsidRPr="0072410B">
        <w:rPr>
          <w:rFonts w:ascii="Book Antiqua" w:hAnsi="Book Antiqua" w:cs="Arial"/>
          <w:sz w:val="24"/>
          <w:szCs w:val="24"/>
        </w:rPr>
        <w:t>(</w:t>
      </w:r>
      <w:r w:rsidRPr="0072410B">
        <w:rPr>
          <w:rFonts w:ascii="Book Antiqua" w:hAnsi="Book Antiqua" w:cs="Arial"/>
          <w:sz w:val="24"/>
          <w:szCs w:val="24"/>
        </w:rPr>
        <w:t>OIG “Driving for Quality in Long Term Care: A Board of Directors Dashboard”</w:t>
      </w:r>
      <w:r w:rsidR="007E490F" w:rsidRPr="0072410B">
        <w:rPr>
          <w:rFonts w:ascii="Book Antiqua" w:hAnsi="Book Antiqua" w:cs="Arial"/>
          <w:sz w:val="24"/>
          <w:szCs w:val="24"/>
        </w:rPr>
        <w:t>)</w:t>
      </w:r>
    </w:p>
    <w:p w14:paraId="3AAB0EEE" w14:textId="77777777" w:rsidR="00241FB1" w:rsidRPr="0072410B" w:rsidRDefault="00241FB1" w:rsidP="00F56BD3">
      <w:pPr>
        <w:pStyle w:val="NoSpacing"/>
        <w:numPr>
          <w:ilvl w:val="0"/>
          <w:numId w:val="15"/>
        </w:numPr>
        <w:rPr>
          <w:rFonts w:ascii="Book Antiqua" w:hAnsi="Book Antiqua" w:cs="Arial"/>
          <w:sz w:val="24"/>
          <w:szCs w:val="24"/>
        </w:rPr>
      </w:pPr>
      <w:r w:rsidRPr="0072410B">
        <w:rPr>
          <w:rFonts w:ascii="Book Antiqua" w:hAnsi="Book Antiqua" w:cs="Arial"/>
          <w:sz w:val="24"/>
          <w:szCs w:val="24"/>
        </w:rPr>
        <w:t xml:space="preserve">During budget reviews, assure allocation of resources is addressing quality issues i.e., staffing, infrastructure, equipment etc. </w:t>
      </w:r>
      <w:r w:rsidR="0077403E" w:rsidRPr="0072410B">
        <w:rPr>
          <w:rFonts w:ascii="Book Antiqua" w:hAnsi="Book Antiqua" w:cs="Arial"/>
          <w:sz w:val="24"/>
          <w:szCs w:val="24"/>
        </w:rPr>
        <w:t>(O</w:t>
      </w:r>
      <w:r w:rsidRPr="0072410B">
        <w:rPr>
          <w:rFonts w:ascii="Book Antiqua" w:hAnsi="Book Antiqua" w:cs="Arial"/>
          <w:sz w:val="24"/>
          <w:szCs w:val="24"/>
        </w:rPr>
        <w:t>IG “Driving for Quality in Long Term Care: A Board of Directors Dashboard”</w:t>
      </w:r>
      <w:r w:rsidR="0077403E" w:rsidRPr="0072410B">
        <w:rPr>
          <w:rFonts w:ascii="Book Antiqua" w:hAnsi="Book Antiqua" w:cs="Arial"/>
          <w:sz w:val="24"/>
          <w:szCs w:val="24"/>
        </w:rPr>
        <w:t>)</w:t>
      </w:r>
    </w:p>
    <w:p w14:paraId="4F688D30" w14:textId="77777777" w:rsidR="00241FB1" w:rsidRPr="0072410B" w:rsidRDefault="00241FB1" w:rsidP="00241FB1">
      <w:pPr>
        <w:pStyle w:val="NoSpacing"/>
        <w:ind w:left="720"/>
        <w:rPr>
          <w:rFonts w:ascii="Book Antiqua" w:hAnsi="Book Antiqua" w:cs="Arial"/>
          <w:color w:val="215868" w:themeColor="accent5" w:themeShade="80"/>
          <w:sz w:val="24"/>
          <w:szCs w:val="24"/>
        </w:rPr>
      </w:pPr>
    </w:p>
    <w:p w14:paraId="78FD4446" w14:textId="77777777" w:rsidR="00241FB1" w:rsidRPr="0072410B" w:rsidRDefault="00241FB1" w:rsidP="00241FB1">
      <w:pPr>
        <w:pStyle w:val="NoSpacing"/>
        <w:rPr>
          <w:rFonts w:ascii="Book Antiqua" w:hAnsi="Book Antiqua" w:cs="Arial"/>
          <w:b/>
          <w:sz w:val="24"/>
          <w:szCs w:val="24"/>
        </w:rPr>
      </w:pPr>
      <w:r w:rsidRPr="0072410B">
        <w:rPr>
          <w:rFonts w:ascii="Book Antiqua" w:hAnsi="Book Antiqua" w:cs="Arial"/>
          <w:b/>
          <w:color w:val="215868" w:themeColor="accent5" w:themeShade="80"/>
          <w:sz w:val="24"/>
          <w:szCs w:val="24"/>
        </w:rPr>
        <w:t>Ideas for compliance oversight:</w:t>
      </w:r>
    </w:p>
    <w:p w14:paraId="27312977" w14:textId="77777777" w:rsidR="00241FB1" w:rsidRPr="0072410B" w:rsidRDefault="00241FB1" w:rsidP="00F9567D">
      <w:pPr>
        <w:pStyle w:val="NoSpacing"/>
        <w:numPr>
          <w:ilvl w:val="0"/>
          <w:numId w:val="16"/>
        </w:numPr>
        <w:rPr>
          <w:rFonts w:ascii="Book Antiqua" w:hAnsi="Book Antiqua" w:cs="Arial"/>
          <w:sz w:val="24"/>
          <w:szCs w:val="24"/>
        </w:rPr>
      </w:pPr>
      <w:r w:rsidRPr="0072410B">
        <w:rPr>
          <w:rFonts w:ascii="Book Antiqua" w:hAnsi="Book Antiqua" w:cs="Arial"/>
          <w:sz w:val="24"/>
          <w:szCs w:val="24"/>
        </w:rPr>
        <w:t>Review the community’s compliance work plan and understand how the compliance risk assessment developed into the audit plan.</w:t>
      </w:r>
    </w:p>
    <w:p w14:paraId="241093C6" w14:textId="77777777" w:rsidR="00241FB1" w:rsidRPr="0072410B" w:rsidRDefault="00241FB1" w:rsidP="00F9567D">
      <w:pPr>
        <w:pStyle w:val="NoSpacing"/>
        <w:numPr>
          <w:ilvl w:val="0"/>
          <w:numId w:val="16"/>
        </w:numPr>
        <w:rPr>
          <w:rFonts w:ascii="Book Antiqua" w:hAnsi="Book Antiqua" w:cs="Arial"/>
          <w:sz w:val="24"/>
          <w:szCs w:val="24"/>
        </w:rPr>
      </w:pPr>
      <w:r w:rsidRPr="0072410B">
        <w:rPr>
          <w:rFonts w:ascii="Book Antiqua" w:hAnsi="Book Antiqua" w:cs="Arial"/>
          <w:sz w:val="24"/>
          <w:szCs w:val="24"/>
        </w:rPr>
        <w:t>Talk to employees and learn how they see the organization</w:t>
      </w:r>
      <w:r w:rsidR="00F9567D" w:rsidRPr="0072410B">
        <w:rPr>
          <w:rFonts w:ascii="Book Antiqua" w:hAnsi="Book Antiqua" w:cs="Arial"/>
          <w:sz w:val="24"/>
          <w:szCs w:val="24"/>
        </w:rPr>
        <w:t>’</w:t>
      </w:r>
      <w:r w:rsidRPr="0072410B">
        <w:rPr>
          <w:rFonts w:ascii="Book Antiqua" w:hAnsi="Book Antiqua" w:cs="Arial"/>
          <w:sz w:val="24"/>
          <w:szCs w:val="24"/>
        </w:rPr>
        <w:t>s values and culture of compliance. NOTE: Personal appearance by board members at staff meetings demonstrates a top-down commitment to quality and compliance and assurance that there is no concealment of unfavorable information. (OIG Toolkit for HC Boards)</w:t>
      </w:r>
    </w:p>
    <w:p w14:paraId="2B01C8BB" w14:textId="77777777" w:rsidR="00241FB1" w:rsidRPr="0072410B" w:rsidRDefault="00241FB1" w:rsidP="00241FB1">
      <w:pPr>
        <w:pStyle w:val="NoSpacing"/>
        <w:rPr>
          <w:rFonts w:ascii="Book Antiqua" w:hAnsi="Book Antiqua" w:cs="Arial"/>
          <w:sz w:val="24"/>
          <w:szCs w:val="24"/>
        </w:rPr>
      </w:pPr>
    </w:p>
    <w:p w14:paraId="7E7E7171" w14:textId="77777777" w:rsidR="00241FB1" w:rsidRPr="0072410B" w:rsidRDefault="00241FB1" w:rsidP="00241FB1">
      <w:pPr>
        <w:pStyle w:val="NoSpacing"/>
        <w:rPr>
          <w:rFonts w:ascii="Book Antiqua" w:hAnsi="Book Antiqua" w:cs="Arial"/>
          <w:sz w:val="24"/>
          <w:szCs w:val="24"/>
        </w:rPr>
      </w:pPr>
      <w:r w:rsidRPr="0072410B">
        <w:rPr>
          <w:rFonts w:ascii="Book Antiqua" w:hAnsi="Book Antiqua" w:cs="Arial"/>
          <w:b/>
          <w:color w:val="215868" w:themeColor="accent5" w:themeShade="80"/>
          <w:sz w:val="24"/>
          <w:szCs w:val="24"/>
        </w:rPr>
        <w:t>Possible topics for a DASHBOARD</w:t>
      </w:r>
      <w:r w:rsidRPr="0072410B">
        <w:rPr>
          <w:rFonts w:ascii="Book Antiqua" w:hAnsi="Book Antiqua" w:cs="Arial"/>
          <w:color w:val="215868" w:themeColor="accent5" w:themeShade="80"/>
          <w:sz w:val="24"/>
          <w:szCs w:val="24"/>
        </w:rPr>
        <w:t xml:space="preserve"> </w:t>
      </w:r>
      <w:r w:rsidRPr="0072410B">
        <w:rPr>
          <w:rFonts w:ascii="Book Antiqua" w:hAnsi="Book Antiqua" w:cs="Arial"/>
          <w:sz w:val="24"/>
          <w:szCs w:val="24"/>
        </w:rPr>
        <w:t>OIG “Driving for Quality in Long Term Care: A Board of Directors Dashboard”</w:t>
      </w:r>
    </w:p>
    <w:p w14:paraId="53D2EF24" w14:textId="77777777" w:rsidR="00241FB1" w:rsidRPr="0072410B" w:rsidRDefault="00241FB1" w:rsidP="00F9567D">
      <w:pPr>
        <w:pStyle w:val="NoSpacing"/>
        <w:numPr>
          <w:ilvl w:val="0"/>
          <w:numId w:val="17"/>
        </w:numPr>
        <w:rPr>
          <w:rFonts w:ascii="Book Antiqua" w:hAnsi="Book Antiqua" w:cs="Arial"/>
          <w:sz w:val="24"/>
          <w:szCs w:val="24"/>
        </w:rPr>
      </w:pPr>
      <w:r w:rsidRPr="0072410B">
        <w:rPr>
          <w:rFonts w:ascii="Book Antiqua" w:hAnsi="Book Antiqua" w:cs="Arial"/>
          <w:sz w:val="24"/>
          <w:szCs w:val="24"/>
        </w:rPr>
        <w:t>Survey Results and Plans of Correction</w:t>
      </w:r>
    </w:p>
    <w:p w14:paraId="5E2D11EA" w14:textId="77777777" w:rsidR="00241FB1" w:rsidRPr="0072410B" w:rsidRDefault="00241FB1" w:rsidP="00F9567D">
      <w:pPr>
        <w:pStyle w:val="NoSpacing"/>
        <w:numPr>
          <w:ilvl w:val="0"/>
          <w:numId w:val="17"/>
        </w:numPr>
        <w:rPr>
          <w:rFonts w:ascii="Book Antiqua" w:hAnsi="Book Antiqua" w:cs="Arial"/>
          <w:sz w:val="24"/>
          <w:szCs w:val="24"/>
        </w:rPr>
      </w:pPr>
      <w:r w:rsidRPr="0072410B">
        <w:rPr>
          <w:rFonts w:ascii="Book Antiqua" w:hAnsi="Book Antiqua" w:cs="Arial"/>
          <w:sz w:val="24"/>
          <w:szCs w:val="24"/>
        </w:rPr>
        <w:t>Quality Measures/ Quality Indicators</w:t>
      </w:r>
    </w:p>
    <w:p w14:paraId="0215360C" w14:textId="77777777" w:rsidR="00241FB1" w:rsidRPr="0072410B" w:rsidRDefault="00241FB1" w:rsidP="00F9567D">
      <w:pPr>
        <w:pStyle w:val="NoSpacing"/>
        <w:numPr>
          <w:ilvl w:val="0"/>
          <w:numId w:val="17"/>
        </w:numPr>
        <w:rPr>
          <w:rFonts w:ascii="Book Antiqua" w:hAnsi="Book Antiqua" w:cs="Arial"/>
          <w:sz w:val="24"/>
          <w:szCs w:val="24"/>
        </w:rPr>
      </w:pPr>
      <w:r w:rsidRPr="0072410B">
        <w:rPr>
          <w:rFonts w:ascii="Book Antiqua" w:hAnsi="Book Antiqua" w:cs="Arial"/>
          <w:sz w:val="24"/>
          <w:szCs w:val="24"/>
        </w:rPr>
        <w:t>Event Reporting/Reportable events</w:t>
      </w:r>
    </w:p>
    <w:p w14:paraId="02C71D64" w14:textId="77777777" w:rsidR="00241FB1" w:rsidRPr="0072410B" w:rsidRDefault="00241FB1" w:rsidP="00F9567D">
      <w:pPr>
        <w:pStyle w:val="NoSpacing"/>
        <w:numPr>
          <w:ilvl w:val="0"/>
          <w:numId w:val="17"/>
        </w:numPr>
        <w:rPr>
          <w:rFonts w:ascii="Book Antiqua" w:hAnsi="Book Antiqua" w:cs="Arial"/>
          <w:sz w:val="24"/>
          <w:szCs w:val="24"/>
        </w:rPr>
      </w:pPr>
      <w:r w:rsidRPr="0072410B">
        <w:rPr>
          <w:rFonts w:ascii="Book Antiqua" w:hAnsi="Book Antiqua" w:cs="Arial"/>
          <w:sz w:val="24"/>
          <w:szCs w:val="24"/>
        </w:rPr>
        <w:t>Complaints</w:t>
      </w:r>
    </w:p>
    <w:p w14:paraId="2BBF2D32" w14:textId="77777777" w:rsidR="00F9567D" w:rsidRPr="0072410B" w:rsidRDefault="00241FB1" w:rsidP="00F9567D">
      <w:pPr>
        <w:pStyle w:val="NoSpacing"/>
        <w:numPr>
          <w:ilvl w:val="0"/>
          <w:numId w:val="17"/>
        </w:numPr>
        <w:rPr>
          <w:rFonts w:ascii="Book Antiqua" w:hAnsi="Book Antiqua" w:cs="Arial"/>
          <w:sz w:val="24"/>
          <w:szCs w:val="24"/>
        </w:rPr>
      </w:pPr>
      <w:r w:rsidRPr="0072410B">
        <w:rPr>
          <w:rFonts w:ascii="Book Antiqua" w:hAnsi="Book Antiqua" w:cs="Arial"/>
          <w:sz w:val="24"/>
          <w:szCs w:val="24"/>
        </w:rPr>
        <w:lastRenderedPageBreak/>
        <w:t>Satisfaction Surveys</w:t>
      </w:r>
    </w:p>
    <w:p w14:paraId="6035938D" w14:textId="77777777" w:rsidR="00241FB1" w:rsidRPr="0072410B" w:rsidRDefault="00241FB1" w:rsidP="00F9567D">
      <w:pPr>
        <w:pStyle w:val="NoSpacing"/>
        <w:numPr>
          <w:ilvl w:val="0"/>
          <w:numId w:val="17"/>
        </w:numPr>
        <w:rPr>
          <w:rFonts w:ascii="Book Antiqua" w:hAnsi="Book Antiqua" w:cs="Arial"/>
          <w:sz w:val="24"/>
          <w:szCs w:val="24"/>
        </w:rPr>
      </w:pPr>
      <w:r w:rsidRPr="0072410B">
        <w:rPr>
          <w:rFonts w:ascii="Book Antiqua" w:hAnsi="Book Antiqua" w:cs="Arial"/>
          <w:sz w:val="24"/>
          <w:szCs w:val="24"/>
        </w:rPr>
        <w:t>Financial Indicators</w:t>
      </w:r>
    </w:p>
    <w:p w14:paraId="026A69DC" w14:textId="77777777" w:rsidR="00F9567D" w:rsidRPr="0072410B" w:rsidRDefault="00F9567D" w:rsidP="00F9567D">
      <w:pPr>
        <w:pStyle w:val="NoSpacing"/>
        <w:ind w:left="720"/>
        <w:rPr>
          <w:rFonts w:ascii="Book Antiqua" w:hAnsi="Book Antiqua" w:cs="Arial"/>
          <w:sz w:val="24"/>
          <w:szCs w:val="24"/>
        </w:rPr>
      </w:pPr>
    </w:p>
    <w:p w14:paraId="476BC409" w14:textId="5FE5855F" w:rsidR="00241FB1" w:rsidRPr="0072410B" w:rsidRDefault="0072410B" w:rsidP="00241FB1">
      <w:pPr>
        <w:pStyle w:val="NoSpacing"/>
        <w:rPr>
          <w:rFonts w:ascii="Book Antiqua" w:hAnsi="Book Antiqua" w:cs="Arial"/>
          <w:b/>
          <w:sz w:val="24"/>
          <w:szCs w:val="24"/>
        </w:rPr>
      </w:pPr>
      <w:r>
        <w:rPr>
          <w:rFonts w:ascii="Book Antiqua" w:hAnsi="Book Antiqua" w:cs="Arial"/>
          <w:b/>
          <w:color w:val="215868" w:themeColor="accent5" w:themeShade="80"/>
          <w:sz w:val="24"/>
          <w:szCs w:val="24"/>
        </w:rPr>
        <w:t>AQORD</w:t>
      </w:r>
      <w:r w:rsidR="00241FB1" w:rsidRPr="0072410B">
        <w:rPr>
          <w:rFonts w:ascii="Book Antiqua" w:hAnsi="Book Antiqua" w:cs="Arial"/>
          <w:b/>
          <w:color w:val="215868" w:themeColor="accent5" w:themeShade="80"/>
          <w:sz w:val="24"/>
          <w:szCs w:val="24"/>
        </w:rPr>
        <w:t xml:space="preserve"> Compliance recommends that you also review:</w:t>
      </w:r>
    </w:p>
    <w:p w14:paraId="0C4C6012" w14:textId="77777777" w:rsidR="00241FB1" w:rsidRPr="0072410B" w:rsidRDefault="00241FB1" w:rsidP="00F56BD3">
      <w:pPr>
        <w:pStyle w:val="NoSpacing"/>
        <w:numPr>
          <w:ilvl w:val="0"/>
          <w:numId w:val="14"/>
        </w:numPr>
        <w:rPr>
          <w:rFonts w:ascii="Book Antiqua" w:hAnsi="Book Antiqua" w:cs="Arial"/>
          <w:sz w:val="24"/>
          <w:szCs w:val="24"/>
        </w:rPr>
      </w:pPr>
      <w:r w:rsidRPr="0072410B">
        <w:rPr>
          <w:rFonts w:ascii="Book Antiqua" w:hAnsi="Book Antiqua" w:cs="Arial"/>
          <w:sz w:val="24"/>
          <w:szCs w:val="24"/>
        </w:rPr>
        <w:t>PEPPER (Program for Evaluating Payment Patterns) report</w:t>
      </w:r>
    </w:p>
    <w:p w14:paraId="690E5200" w14:textId="77777777" w:rsidR="00241FB1" w:rsidRPr="0072410B" w:rsidRDefault="00241FB1" w:rsidP="00F56BD3">
      <w:pPr>
        <w:pStyle w:val="NoSpacing"/>
        <w:numPr>
          <w:ilvl w:val="0"/>
          <w:numId w:val="14"/>
        </w:numPr>
        <w:rPr>
          <w:rFonts w:ascii="Book Antiqua" w:hAnsi="Book Antiqua" w:cs="Arial"/>
          <w:sz w:val="24"/>
          <w:szCs w:val="24"/>
        </w:rPr>
      </w:pPr>
      <w:r w:rsidRPr="0072410B">
        <w:rPr>
          <w:rFonts w:ascii="Book Antiqua" w:hAnsi="Book Antiqua" w:cs="Arial"/>
          <w:sz w:val="24"/>
          <w:szCs w:val="24"/>
        </w:rPr>
        <w:t>FSA Compliance audit results and community plan of correction</w:t>
      </w:r>
    </w:p>
    <w:p w14:paraId="656CC46E" w14:textId="77777777" w:rsidR="00241FB1" w:rsidRPr="0072410B" w:rsidRDefault="00241FB1" w:rsidP="00F56BD3">
      <w:pPr>
        <w:pStyle w:val="NoSpacing"/>
        <w:numPr>
          <w:ilvl w:val="0"/>
          <w:numId w:val="14"/>
        </w:numPr>
        <w:rPr>
          <w:rFonts w:ascii="Book Antiqua" w:hAnsi="Book Antiqua" w:cs="Arial"/>
          <w:sz w:val="24"/>
          <w:szCs w:val="24"/>
        </w:rPr>
      </w:pPr>
      <w:r w:rsidRPr="0072410B">
        <w:rPr>
          <w:rFonts w:ascii="Book Antiqua" w:hAnsi="Book Antiqua" w:cs="Arial"/>
          <w:sz w:val="24"/>
          <w:szCs w:val="24"/>
        </w:rPr>
        <w:t>Billing ADR (Additional Documentation Requests) and claim denial history as well as any RAC (Recover Audit Contractor), MIC (Medicaid Integrity Contractor), ZPIC (Zone Progra</w:t>
      </w:r>
      <w:r w:rsidR="00233E0D" w:rsidRPr="0072410B">
        <w:rPr>
          <w:rFonts w:ascii="Book Antiqua" w:hAnsi="Book Antiqua" w:cs="Arial"/>
          <w:sz w:val="24"/>
          <w:szCs w:val="24"/>
        </w:rPr>
        <w:t xml:space="preserve">m Integrity Contractor) audit </w:t>
      </w:r>
      <w:r w:rsidRPr="0072410B">
        <w:rPr>
          <w:rFonts w:ascii="Book Antiqua" w:hAnsi="Book Antiqua" w:cs="Arial"/>
          <w:sz w:val="24"/>
          <w:szCs w:val="24"/>
        </w:rPr>
        <w:t>summaries</w:t>
      </w:r>
    </w:p>
    <w:p w14:paraId="18B8A886" w14:textId="77777777" w:rsidR="00241FB1" w:rsidRPr="0072410B" w:rsidRDefault="00241FB1" w:rsidP="00F56BD3">
      <w:pPr>
        <w:pStyle w:val="NoSpacing"/>
        <w:numPr>
          <w:ilvl w:val="0"/>
          <w:numId w:val="14"/>
        </w:numPr>
        <w:rPr>
          <w:rFonts w:ascii="Book Antiqua" w:hAnsi="Book Antiqua" w:cs="Arial"/>
          <w:sz w:val="24"/>
          <w:szCs w:val="24"/>
        </w:rPr>
      </w:pPr>
      <w:r w:rsidRPr="0072410B">
        <w:rPr>
          <w:rFonts w:ascii="Book Antiqua" w:hAnsi="Book Antiqua" w:cs="Arial"/>
          <w:sz w:val="24"/>
          <w:szCs w:val="24"/>
        </w:rPr>
        <w:t>HIPAA (Health Insurance Portability and Accountability</w:t>
      </w:r>
      <w:r w:rsidR="00C82314" w:rsidRPr="0072410B">
        <w:rPr>
          <w:rFonts w:ascii="Book Antiqua" w:hAnsi="Book Antiqua" w:cs="Arial"/>
          <w:sz w:val="24"/>
          <w:szCs w:val="24"/>
        </w:rPr>
        <w:t xml:space="preserve"> Act) Breach</w:t>
      </w:r>
      <w:r w:rsidRPr="0072410B">
        <w:rPr>
          <w:rFonts w:ascii="Book Antiqua" w:hAnsi="Book Antiqua" w:cs="Arial"/>
          <w:sz w:val="24"/>
          <w:szCs w:val="24"/>
        </w:rPr>
        <w:t xml:space="preserve"> log</w:t>
      </w:r>
      <w:r w:rsidR="00C82314" w:rsidRPr="0072410B">
        <w:rPr>
          <w:rFonts w:ascii="Book Antiqua" w:hAnsi="Book Antiqua" w:cs="Arial"/>
          <w:sz w:val="24"/>
          <w:szCs w:val="24"/>
        </w:rPr>
        <w:t>s</w:t>
      </w:r>
    </w:p>
    <w:p w14:paraId="7F25DA1E" w14:textId="77777777" w:rsidR="00241FB1" w:rsidRPr="0072410B" w:rsidRDefault="00241FB1" w:rsidP="00F56BD3">
      <w:pPr>
        <w:pStyle w:val="NoSpacing"/>
        <w:numPr>
          <w:ilvl w:val="0"/>
          <w:numId w:val="14"/>
        </w:numPr>
        <w:rPr>
          <w:rFonts w:ascii="Book Antiqua" w:hAnsi="Book Antiqua" w:cs="Arial"/>
          <w:sz w:val="24"/>
          <w:szCs w:val="24"/>
        </w:rPr>
      </w:pPr>
      <w:r w:rsidRPr="0072410B">
        <w:rPr>
          <w:rFonts w:ascii="Book Antiqua" w:hAnsi="Book Antiqua" w:cs="Arial"/>
          <w:sz w:val="24"/>
          <w:szCs w:val="24"/>
        </w:rPr>
        <w:t>Compliance Investigation logs</w:t>
      </w:r>
    </w:p>
    <w:p w14:paraId="6A2DAF00" w14:textId="77777777" w:rsidR="008048AC" w:rsidRPr="0072410B" w:rsidRDefault="008048AC" w:rsidP="00241FB1">
      <w:pPr>
        <w:rPr>
          <w:rFonts w:ascii="Book Antiqua" w:hAnsi="Book Antiqua"/>
          <w:sz w:val="24"/>
          <w:szCs w:val="24"/>
        </w:rPr>
      </w:pPr>
    </w:p>
    <w:sectPr w:rsidR="008048AC" w:rsidRPr="0072410B" w:rsidSect="00BF447D">
      <w:headerReference w:type="default" r:id="rId9"/>
      <w:footerReference w:type="default" r:id="rId10"/>
      <w:pgSz w:w="12240" w:h="15840" w:code="1"/>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E88CA" w14:textId="77777777" w:rsidR="00CE1C89" w:rsidRDefault="00CE1C89" w:rsidP="00BF447D">
      <w:pPr>
        <w:spacing w:after="0" w:line="240" w:lineRule="auto"/>
      </w:pPr>
      <w:r>
        <w:separator/>
      </w:r>
    </w:p>
  </w:endnote>
  <w:endnote w:type="continuationSeparator" w:id="0">
    <w:p w14:paraId="6AF2127B" w14:textId="77777777" w:rsidR="00CE1C89" w:rsidRDefault="00CE1C89" w:rsidP="00BF4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Futura">
    <w:altName w:val="Century Gothic"/>
    <w:charset w:val="00"/>
    <w:family w:val="roman"/>
    <w:pitch w:val="variable"/>
    <w:sig w:usb0="20000A87" w:usb1="08000000" w:usb2="00000008" w:usb3="00000000" w:csb0="000001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cs="Futura"/>
        <w:sz w:val="20"/>
        <w:szCs w:val="20"/>
      </w:rPr>
      <w:id w:val="1552888864"/>
      <w:docPartObj>
        <w:docPartGallery w:val="Page Numbers (Bottom of Page)"/>
        <w:docPartUnique/>
      </w:docPartObj>
    </w:sdtPr>
    <w:sdtEndPr>
      <w:rPr>
        <w:noProof/>
      </w:rPr>
    </w:sdtEndPr>
    <w:sdtContent>
      <w:p w14:paraId="59A89330" w14:textId="77777777" w:rsidR="00262EB8" w:rsidRPr="0072410B" w:rsidRDefault="009F179B">
        <w:pPr>
          <w:pStyle w:val="Footer"/>
          <w:jc w:val="center"/>
          <w:rPr>
            <w:rFonts w:ascii="Book Antiqua" w:hAnsi="Book Antiqua" w:cs="Futura"/>
            <w:sz w:val="20"/>
            <w:szCs w:val="20"/>
          </w:rPr>
        </w:pPr>
        <w:r w:rsidRPr="0072410B">
          <w:rPr>
            <w:rFonts w:ascii="Book Antiqua" w:hAnsi="Book Antiqua" w:cs="Futura"/>
            <w:sz w:val="20"/>
            <w:szCs w:val="20"/>
          </w:rPr>
          <w:t xml:space="preserve">Page </w:t>
        </w:r>
        <w:r w:rsidR="00262EB8" w:rsidRPr="0072410B">
          <w:rPr>
            <w:rFonts w:ascii="Book Antiqua" w:hAnsi="Book Antiqua" w:cs="Futura"/>
            <w:sz w:val="20"/>
            <w:szCs w:val="20"/>
          </w:rPr>
          <w:fldChar w:fldCharType="begin"/>
        </w:r>
        <w:r w:rsidR="00262EB8" w:rsidRPr="0072410B">
          <w:rPr>
            <w:rFonts w:ascii="Book Antiqua" w:hAnsi="Book Antiqua" w:cs="Futura"/>
            <w:sz w:val="20"/>
            <w:szCs w:val="20"/>
          </w:rPr>
          <w:instrText xml:space="preserve"> PAGE   \* MERGEFORMAT </w:instrText>
        </w:r>
        <w:r w:rsidR="00262EB8" w:rsidRPr="0072410B">
          <w:rPr>
            <w:rFonts w:ascii="Book Antiqua" w:hAnsi="Book Antiqua" w:cs="Futura"/>
            <w:sz w:val="20"/>
            <w:szCs w:val="20"/>
          </w:rPr>
          <w:fldChar w:fldCharType="separate"/>
        </w:r>
        <w:r w:rsidRPr="0072410B">
          <w:rPr>
            <w:rFonts w:ascii="Book Antiqua" w:hAnsi="Book Antiqua" w:cs="Futura"/>
            <w:noProof/>
            <w:sz w:val="20"/>
            <w:szCs w:val="20"/>
          </w:rPr>
          <w:t>1</w:t>
        </w:r>
        <w:r w:rsidR="00262EB8" w:rsidRPr="0072410B">
          <w:rPr>
            <w:rFonts w:ascii="Book Antiqua" w:hAnsi="Book Antiqua" w:cs="Futura"/>
            <w:noProof/>
            <w:sz w:val="20"/>
            <w:szCs w:val="20"/>
          </w:rPr>
          <w:fldChar w:fldCharType="end"/>
        </w:r>
        <w:r w:rsidRPr="0072410B">
          <w:rPr>
            <w:rFonts w:ascii="Book Antiqua" w:hAnsi="Book Antiqua" w:cs="Futura"/>
            <w:noProof/>
            <w:sz w:val="20"/>
            <w:szCs w:val="20"/>
          </w:rPr>
          <w:t xml:space="preserve"> of 2</w:t>
        </w:r>
      </w:p>
    </w:sdtContent>
  </w:sdt>
  <w:p w14:paraId="3323908C" w14:textId="5B68CC9E" w:rsidR="00BF447D" w:rsidRPr="0072410B" w:rsidRDefault="0072410B">
    <w:pPr>
      <w:pStyle w:val="Footer"/>
      <w:rPr>
        <w:rFonts w:ascii="Book Antiqua" w:hAnsi="Book Antiqua"/>
        <w:sz w:val="20"/>
        <w:szCs w:val="20"/>
      </w:rPr>
    </w:pPr>
    <w:r w:rsidRPr="0072410B">
      <w:rPr>
        <w:rFonts w:ascii="Book Antiqua" w:hAnsi="Book Antiqua" w:cstheme="minorHAnsi"/>
        <w:sz w:val="20"/>
        <w:szCs w:val="20"/>
      </w:rPr>
      <w:t>©</w:t>
    </w:r>
    <w:r w:rsidRPr="0072410B">
      <w:rPr>
        <w:rFonts w:ascii="Book Antiqua" w:hAnsi="Book Antiqua"/>
        <w:sz w:val="20"/>
        <w:szCs w:val="20"/>
      </w:rPr>
      <w:t xml:space="preserve"> AQORD Compliance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E4DA9" w14:textId="77777777" w:rsidR="00CE1C89" w:rsidRDefault="00CE1C89" w:rsidP="00BF447D">
      <w:pPr>
        <w:spacing w:after="0" w:line="240" w:lineRule="auto"/>
      </w:pPr>
      <w:r>
        <w:separator/>
      </w:r>
    </w:p>
  </w:footnote>
  <w:footnote w:type="continuationSeparator" w:id="0">
    <w:p w14:paraId="21EB7218" w14:textId="77777777" w:rsidR="00CE1C89" w:rsidRDefault="00CE1C89" w:rsidP="00BF4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DF9D4" w14:textId="7222D9D4" w:rsidR="00262EB8" w:rsidRDefault="0072410B">
    <w:pPr>
      <w:pStyle w:val="Header"/>
    </w:pPr>
    <w:r>
      <w:rPr>
        <w:noProof/>
      </w:rPr>
      <w:drawing>
        <wp:anchor distT="0" distB="0" distL="114300" distR="114300" simplePos="0" relativeHeight="251658240" behindDoc="1" locked="0" layoutInCell="1" allowOverlap="1" wp14:anchorId="3E0B828B" wp14:editId="0AFF1AC6">
          <wp:simplePos x="0" y="0"/>
          <wp:positionH relativeFrom="column">
            <wp:posOffset>4406900</wp:posOffset>
          </wp:positionH>
          <wp:positionV relativeFrom="paragraph">
            <wp:posOffset>-508000</wp:posOffset>
          </wp:positionV>
          <wp:extent cx="2641600" cy="1485900"/>
          <wp:effectExtent l="0" t="0" r="0" b="0"/>
          <wp:wrapNone/>
          <wp:docPr id="2050683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683010" name="Picture 2050683010"/>
                  <pic:cNvPicPr/>
                </pic:nvPicPr>
                <pic:blipFill>
                  <a:blip r:embed="rId1">
                    <a:extLst>
                      <a:ext uri="{28A0092B-C50C-407E-A947-70E740481C1C}">
                        <a14:useLocalDpi xmlns:a14="http://schemas.microsoft.com/office/drawing/2010/main" val="0"/>
                      </a:ext>
                    </a:extLst>
                  </a:blip>
                  <a:stretch>
                    <a:fillRect/>
                  </a:stretch>
                </pic:blipFill>
                <pic:spPr>
                  <a:xfrm>
                    <a:off x="0" y="0"/>
                    <a:ext cx="2641600" cy="1485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6B5C"/>
    <w:multiLevelType w:val="hybridMultilevel"/>
    <w:tmpl w:val="D0DC045A"/>
    <w:lvl w:ilvl="0" w:tplc="7CDA4B2E">
      <w:start w:val="1"/>
      <w:numFmt w:val="bullet"/>
      <w:lvlText w:val=""/>
      <w:lvlJc w:val="left"/>
      <w:pPr>
        <w:ind w:left="720" w:hanging="360"/>
      </w:pPr>
      <w:rPr>
        <w:rFonts w:ascii="Wingdings" w:hAnsi="Wingdings" w:hint="default"/>
        <w:snapToGrid/>
        <w:color w:val="auto"/>
        <w:spacing w:val="-4"/>
        <w:w w:val="105"/>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4A5BBD"/>
    <w:multiLevelType w:val="hybridMultilevel"/>
    <w:tmpl w:val="4984D0E6"/>
    <w:lvl w:ilvl="0" w:tplc="7CDA4B2E">
      <w:start w:val="1"/>
      <w:numFmt w:val="bullet"/>
      <w:lvlText w:val=""/>
      <w:lvlJc w:val="left"/>
      <w:pPr>
        <w:ind w:left="720" w:hanging="360"/>
      </w:pPr>
      <w:rPr>
        <w:rFonts w:ascii="Wingdings" w:hAnsi="Wingdings" w:hint="default"/>
        <w:snapToGrid/>
        <w:color w:val="auto"/>
        <w:spacing w:val="-4"/>
        <w:w w:val="105"/>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292EB6"/>
    <w:multiLevelType w:val="hybridMultilevel"/>
    <w:tmpl w:val="7C38D9F8"/>
    <w:lvl w:ilvl="0" w:tplc="7CDA4B2E">
      <w:start w:val="1"/>
      <w:numFmt w:val="bullet"/>
      <w:lvlText w:val=""/>
      <w:lvlJc w:val="left"/>
      <w:pPr>
        <w:ind w:left="720" w:hanging="360"/>
      </w:pPr>
      <w:rPr>
        <w:rFonts w:ascii="Wingdings" w:hAnsi="Wingdings" w:hint="default"/>
        <w:snapToGrid/>
        <w:color w:val="auto"/>
        <w:spacing w:val="-4"/>
        <w:w w:val="105"/>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EE6955"/>
    <w:multiLevelType w:val="hybridMultilevel"/>
    <w:tmpl w:val="7F544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F36BE1"/>
    <w:multiLevelType w:val="hybridMultilevel"/>
    <w:tmpl w:val="CCCC2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DD32CD"/>
    <w:multiLevelType w:val="hybridMultilevel"/>
    <w:tmpl w:val="24F64F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9234F0"/>
    <w:multiLevelType w:val="hybridMultilevel"/>
    <w:tmpl w:val="3CD41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6730EF8"/>
    <w:multiLevelType w:val="hybridMultilevel"/>
    <w:tmpl w:val="9B5A76DE"/>
    <w:lvl w:ilvl="0" w:tplc="88DABBAA">
      <w:start w:val="1"/>
      <w:numFmt w:val="decimal"/>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A767BB0"/>
    <w:multiLevelType w:val="hybridMultilevel"/>
    <w:tmpl w:val="AE1626A0"/>
    <w:lvl w:ilvl="0" w:tplc="7CDA4B2E">
      <w:start w:val="1"/>
      <w:numFmt w:val="bullet"/>
      <w:lvlText w:val=""/>
      <w:lvlJc w:val="left"/>
      <w:pPr>
        <w:ind w:left="720" w:hanging="360"/>
      </w:pPr>
      <w:rPr>
        <w:rFonts w:ascii="Wingdings" w:hAnsi="Wingdings" w:hint="default"/>
        <w:snapToGrid/>
        <w:color w:val="auto"/>
        <w:spacing w:val="-4"/>
        <w:w w:val="105"/>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E186E92"/>
    <w:multiLevelType w:val="hybridMultilevel"/>
    <w:tmpl w:val="3104D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6311BA5"/>
    <w:multiLevelType w:val="hybridMultilevel"/>
    <w:tmpl w:val="7F38F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E3C7348"/>
    <w:multiLevelType w:val="hybridMultilevel"/>
    <w:tmpl w:val="E012B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B07739"/>
    <w:multiLevelType w:val="hybridMultilevel"/>
    <w:tmpl w:val="1D9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A633B2"/>
    <w:multiLevelType w:val="hybridMultilevel"/>
    <w:tmpl w:val="D7A4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538C0"/>
    <w:multiLevelType w:val="hybridMultilevel"/>
    <w:tmpl w:val="DACC64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04019E"/>
    <w:multiLevelType w:val="hybridMultilevel"/>
    <w:tmpl w:val="93302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521612"/>
    <w:multiLevelType w:val="hybridMultilevel"/>
    <w:tmpl w:val="56C8B8CA"/>
    <w:lvl w:ilvl="0" w:tplc="9D8CB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966577">
    <w:abstractNumId w:val="13"/>
  </w:num>
  <w:num w:numId="2" w16cid:durableId="1399740280">
    <w:abstractNumId w:val="12"/>
  </w:num>
  <w:num w:numId="3" w16cid:durableId="1581595202">
    <w:abstractNumId w:val="11"/>
  </w:num>
  <w:num w:numId="4" w16cid:durableId="458575861">
    <w:abstractNumId w:val="5"/>
  </w:num>
  <w:num w:numId="5" w16cid:durableId="1529365823">
    <w:abstractNumId w:val="4"/>
  </w:num>
  <w:num w:numId="6" w16cid:durableId="1365668557">
    <w:abstractNumId w:val="7"/>
    <w:lvlOverride w:ilvl="0">
      <w:startOverride w:val="1"/>
    </w:lvlOverride>
    <w:lvlOverride w:ilvl="1"/>
    <w:lvlOverride w:ilvl="2"/>
    <w:lvlOverride w:ilvl="3"/>
    <w:lvlOverride w:ilvl="4"/>
    <w:lvlOverride w:ilvl="5"/>
    <w:lvlOverride w:ilvl="6"/>
    <w:lvlOverride w:ilvl="7"/>
    <w:lvlOverride w:ilvl="8"/>
  </w:num>
  <w:num w:numId="7" w16cid:durableId="1974208674">
    <w:abstractNumId w:val="15"/>
  </w:num>
  <w:num w:numId="8" w16cid:durableId="679626275">
    <w:abstractNumId w:val="16"/>
  </w:num>
  <w:num w:numId="9" w16cid:durableId="64769530">
    <w:abstractNumId w:val="14"/>
  </w:num>
  <w:num w:numId="10" w16cid:durableId="1482767476">
    <w:abstractNumId w:val="3"/>
  </w:num>
  <w:num w:numId="11" w16cid:durableId="1556234268">
    <w:abstractNumId w:val="9"/>
  </w:num>
  <w:num w:numId="12" w16cid:durableId="1726876650">
    <w:abstractNumId w:val="6"/>
  </w:num>
  <w:num w:numId="13" w16cid:durableId="473257247">
    <w:abstractNumId w:val="10"/>
  </w:num>
  <w:num w:numId="14" w16cid:durableId="1349328269">
    <w:abstractNumId w:val="2"/>
  </w:num>
  <w:num w:numId="15" w16cid:durableId="1078331741">
    <w:abstractNumId w:val="0"/>
  </w:num>
  <w:num w:numId="16" w16cid:durableId="28335425">
    <w:abstractNumId w:val="8"/>
  </w:num>
  <w:num w:numId="17" w16cid:durableId="576088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24D"/>
    <w:rsid w:val="00015996"/>
    <w:rsid w:val="00047BC2"/>
    <w:rsid w:val="000A4E33"/>
    <w:rsid w:val="001116F7"/>
    <w:rsid w:val="001474B9"/>
    <w:rsid w:val="00233E0D"/>
    <w:rsid w:val="00241FB1"/>
    <w:rsid w:val="00262EB8"/>
    <w:rsid w:val="00295DD9"/>
    <w:rsid w:val="002B4E19"/>
    <w:rsid w:val="00346D5A"/>
    <w:rsid w:val="00396B57"/>
    <w:rsid w:val="003F0ADD"/>
    <w:rsid w:val="00481D1B"/>
    <w:rsid w:val="00492364"/>
    <w:rsid w:val="0051582D"/>
    <w:rsid w:val="00640235"/>
    <w:rsid w:val="006F1DF2"/>
    <w:rsid w:val="00710585"/>
    <w:rsid w:val="0072410B"/>
    <w:rsid w:val="00734530"/>
    <w:rsid w:val="00747CB1"/>
    <w:rsid w:val="00762C8D"/>
    <w:rsid w:val="0077403E"/>
    <w:rsid w:val="007E490F"/>
    <w:rsid w:val="008048AC"/>
    <w:rsid w:val="0085482E"/>
    <w:rsid w:val="008A29C9"/>
    <w:rsid w:val="008E6829"/>
    <w:rsid w:val="00964E92"/>
    <w:rsid w:val="00993181"/>
    <w:rsid w:val="009E1960"/>
    <w:rsid w:val="009F179B"/>
    <w:rsid w:val="00A07CFA"/>
    <w:rsid w:val="00A33A96"/>
    <w:rsid w:val="00A36499"/>
    <w:rsid w:val="00A55602"/>
    <w:rsid w:val="00AC3EC4"/>
    <w:rsid w:val="00BF447D"/>
    <w:rsid w:val="00C531ED"/>
    <w:rsid w:val="00C54C44"/>
    <w:rsid w:val="00C5679D"/>
    <w:rsid w:val="00C82314"/>
    <w:rsid w:val="00CA491F"/>
    <w:rsid w:val="00CC4031"/>
    <w:rsid w:val="00CE1C89"/>
    <w:rsid w:val="00D152E9"/>
    <w:rsid w:val="00D24416"/>
    <w:rsid w:val="00DD36DA"/>
    <w:rsid w:val="00F56BD3"/>
    <w:rsid w:val="00F7024D"/>
    <w:rsid w:val="00F77A04"/>
    <w:rsid w:val="00F9567D"/>
    <w:rsid w:val="00FA5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6B25D"/>
  <w15:docId w15:val="{C1E81392-6583-4C90-8C4F-1FE2F663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C8D"/>
    <w:pPr>
      <w:ind w:left="720"/>
      <w:contextualSpacing/>
    </w:pPr>
  </w:style>
  <w:style w:type="paragraph" w:styleId="Header">
    <w:name w:val="header"/>
    <w:basedOn w:val="Normal"/>
    <w:link w:val="HeaderChar"/>
    <w:uiPriority w:val="99"/>
    <w:unhideWhenUsed/>
    <w:rsid w:val="00BF4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47D"/>
  </w:style>
  <w:style w:type="paragraph" w:styleId="Footer">
    <w:name w:val="footer"/>
    <w:basedOn w:val="Normal"/>
    <w:link w:val="FooterChar"/>
    <w:uiPriority w:val="99"/>
    <w:unhideWhenUsed/>
    <w:rsid w:val="00BF4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47D"/>
  </w:style>
  <w:style w:type="paragraph" w:styleId="BalloonText">
    <w:name w:val="Balloon Text"/>
    <w:basedOn w:val="Normal"/>
    <w:link w:val="BalloonTextChar"/>
    <w:uiPriority w:val="99"/>
    <w:semiHidden/>
    <w:unhideWhenUsed/>
    <w:rsid w:val="00BF4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7D"/>
    <w:rPr>
      <w:rFonts w:ascii="Tahoma" w:hAnsi="Tahoma" w:cs="Tahoma"/>
      <w:sz w:val="16"/>
      <w:szCs w:val="16"/>
    </w:rPr>
  </w:style>
  <w:style w:type="paragraph" w:styleId="NoSpacing">
    <w:name w:val="No Spacing"/>
    <w:uiPriority w:val="1"/>
    <w:qFormat/>
    <w:rsid w:val="00734530"/>
    <w:pPr>
      <w:spacing w:after="0" w:line="240" w:lineRule="auto"/>
    </w:pPr>
  </w:style>
  <w:style w:type="table" w:styleId="TableGrid">
    <w:name w:val="Table Grid"/>
    <w:basedOn w:val="TableNormal"/>
    <w:uiPriority w:val="39"/>
    <w:rsid w:val="00747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52816">
      <w:bodyDiv w:val="1"/>
      <w:marLeft w:val="0"/>
      <w:marRight w:val="0"/>
      <w:marTop w:val="0"/>
      <w:marBottom w:val="0"/>
      <w:divBdr>
        <w:top w:val="none" w:sz="0" w:space="0" w:color="auto"/>
        <w:left w:val="none" w:sz="0" w:space="0" w:color="auto"/>
        <w:bottom w:val="none" w:sz="0" w:space="0" w:color="auto"/>
        <w:right w:val="none" w:sz="0" w:space="0" w:color="auto"/>
      </w:divBdr>
      <w:divsChild>
        <w:div w:id="453408902">
          <w:marLeft w:val="0"/>
          <w:marRight w:val="0"/>
          <w:marTop w:val="0"/>
          <w:marBottom w:val="0"/>
          <w:divBdr>
            <w:top w:val="none" w:sz="0" w:space="0" w:color="auto"/>
            <w:left w:val="none" w:sz="0" w:space="0" w:color="auto"/>
            <w:bottom w:val="none" w:sz="0" w:space="0" w:color="auto"/>
            <w:right w:val="none" w:sz="0" w:space="0" w:color="auto"/>
          </w:divBdr>
        </w:div>
        <w:div w:id="1431701974">
          <w:marLeft w:val="0"/>
          <w:marRight w:val="0"/>
          <w:marTop w:val="0"/>
          <w:marBottom w:val="0"/>
          <w:divBdr>
            <w:top w:val="none" w:sz="0" w:space="0" w:color="auto"/>
            <w:left w:val="none" w:sz="0" w:space="0" w:color="auto"/>
            <w:bottom w:val="none" w:sz="0" w:space="0" w:color="auto"/>
            <w:right w:val="none" w:sz="0" w:space="0" w:color="auto"/>
          </w:divBdr>
        </w:div>
        <w:div w:id="1543636173">
          <w:marLeft w:val="0"/>
          <w:marRight w:val="0"/>
          <w:marTop w:val="0"/>
          <w:marBottom w:val="0"/>
          <w:divBdr>
            <w:top w:val="none" w:sz="0" w:space="0" w:color="auto"/>
            <w:left w:val="none" w:sz="0" w:space="0" w:color="auto"/>
            <w:bottom w:val="none" w:sz="0" w:space="0" w:color="auto"/>
            <w:right w:val="none" w:sz="0" w:space="0" w:color="auto"/>
          </w:divBdr>
        </w:div>
        <w:div w:id="819076098">
          <w:marLeft w:val="0"/>
          <w:marRight w:val="0"/>
          <w:marTop w:val="0"/>
          <w:marBottom w:val="0"/>
          <w:divBdr>
            <w:top w:val="none" w:sz="0" w:space="0" w:color="auto"/>
            <w:left w:val="none" w:sz="0" w:space="0" w:color="auto"/>
            <w:bottom w:val="none" w:sz="0" w:space="0" w:color="auto"/>
            <w:right w:val="none" w:sz="0" w:space="0" w:color="auto"/>
          </w:divBdr>
        </w:div>
        <w:div w:id="243531843">
          <w:marLeft w:val="0"/>
          <w:marRight w:val="0"/>
          <w:marTop w:val="0"/>
          <w:marBottom w:val="0"/>
          <w:divBdr>
            <w:top w:val="none" w:sz="0" w:space="0" w:color="auto"/>
            <w:left w:val="none" w:sz="0" w:space="0" w:color="auto"/>
            <w:bottom w:val="none" w:sz="0" w:space="0" w:color="auto"/>
            <w:right w:val="none" w:sz="0" w:space="0" w:color="auto"/>
          </w:divBdr>
        </w:div>
        <w:div w:id="515967591">
          <w:marLeft w:val="0"/>
          <w:marRight w:val="0"/>
          <w:marTop w:val="0"/>
          <w:marBottom w:val="0"/>
          <w:divBdr>
            <w:top w:val="none" w:sz="0" w:space="0" w:color="auto"/>
            <w:left w:val="none" w:sz="0" w:space="0" w:color="auto"/>
            <w:bottom w:val="none" w:sz="0" w:space="0" w:color="auto"/>
            <w:right w:val="none" w:sz="0" w:space="0" w:color="auto"/>
          </w:divBdr>
        </w:div>
        <w:div w:id="191651729">
          <w:marLeft w:val="0"/>
          <w:marRight w:val="0"/>
          <w:marTop w:val="0"/>
          <w:marBottom w:val="0"/>
          <w:divBdr>
            <w:top w:val="none" w:sz="0" w:space="0" w:color="auto"/>
            <w:left w:val="none" w:sz="0" w:space="0" w:color="auto"/>
            <w:bottom w:val="none" w:sz="0" w:space="0" w:color="auto"/>
            <w:right w:val="none" w:sz="0" w:space="0" w:color="auto"/>
          </w:divBdr>
        </w:div>
        <w:div w:id="1910536415">
          <w:marLeft w:val="0"/>
          <w:marRight w:val="0"/>
          <w:marTop w:val="0"/>
          <w:marBottom w:val="0"/>
          <w:divBdr>
            <w:top w:val="none" w:sz="0" w:space="0" w:color="auto"/>
            <w:left w:val="none" w:sz="0" w:space="0" w:color="auto"/>
            <w:bottom w:val="none" w:sz="0" w:space="0" w:color="auto"/>
            <w:right w:val="none" w:sz="0" w:space="0" w:color="auto"/>
          </w:divBdr>
        </w:div>
        <w:div w:id="939066984">
          <w:marLeft w:val="0"/>
          <w:marRight w:val="0"/>
          <w:marTop w:val="0"/>
          <w:marBottom w:val="0"/>
          <w:divBdr>
            <w:top w:val="none" w:sz="0" w:space="0" w:color="auto"/>
            <w:left w:val="none" w:sz="0" w:space="0" w:color="auto"/>
            <w:bottom w:val="none" w:sz="0" w:space="0" w:color="auto"/>
            <w:right w:val="none" w:sz="0" w:space="0" w:color="auto"/>
          </w:divBdr>
        </w:div>
        <w:div w:id="1044713251">
          <w:marLeft w:val="0"/>
          <w:marRight w:val="0"/>
          <w:marTop w:val="0"/>
          <w:marBottom w:val="0"/>
          <w:divBdr>
            <w:top w:val="none" w:sz="0" w:space="0" w:color="auto"/>
            <w:left w:val="none" w:sz="0" w:space="0" w:color="auto"/>
            <w:bottom w:val="none" w:sz="0" w:space="0" w:color="auto"/>
            <w:right w:val="none" w:sz="0" w:space="0" w:color="auto"/>
          </w:divBdr>
        </w:div>
        <w:div w:id="1351682126">
          <w:marLeft w:val="0"/>
          <w:marRight w:val="0"/>
          <w:marTop w:val="0"/>
          <w:marBottom w:val="0"/>
          <w:divBdr>
            <w:top w:val="none" w:sz="0" w:space="0" w:color="auto"/>
            <w:left w:val="none" w:sz="0" w:space="0" w:color="auto"/>
            <w:bottom w:val="none" w:sz="0" w:space="0" w:color="auto"/>
            <w:right w:val="none" w:sz="0" w:space="0" w:color="auto"/>
          </w:divBdr>
        </w:div>
        <w:div w:id="887062170">
          <w:marLeft w:val="0"/>
          <w:marRight w:val="0"/>
          <w:marTop w:val="0"/>
          <w:marBottom w:val="0"/>
          <w:divBdr>
            <w:top w:val="none" w:sz="0" w:space="0" w:color="auto"/>
            <w:left w:val="none" w:sz="0" w:space="0" w:color="auto"/>
            <w:bottom w:val="none" w:sz="0" w:space="0" w:color="auto"/>
            <w:right w:val="none" w:sz="0" w:space="0" w:color="auto"/>
          </w:divBdr>
        </w:div>
        <w:div w:id="417411023">
          <w:marLeft w:val="0"/>
          <w:marRight w:val="0"/>
          <w:marTop w:val="0"/>
          <w:marBottom w:val="0"/>
          <w:divBdr>
            <w:top w:val="none" w:sz="0" w:space="0" w:color="auto"/>
            <w:left w:val="none" w:sz="0" w:space="0" w:color="auto"/>
            <w:bottom w:val="none" w:sz="0" w:space="0" w:color="auto"/>
            <w:right w:val="none" w:sz="0" w:space="0" w:color="auto"/>
          </w:divBdr>
        </w:div>
        <w:div w:id="750004574">
          <w:marLeft w:val="0"/>
          <w:marRight w:val="0"/>
          <w:marTop w:val="0"/>
          <w:marBottom w:val="0"/>
          <w:divBdr>
            <w:top w:val="none" w:sz="0" w:space="0" w:color="auto"/>
            <w:left w:val="none" w:sz="0" w:space="0" w:color="auto"/>
            <w:bottom w:val="none" w:sz="0" w:space="0" w:color="auto"/>
            <w:right w:val="none" w:sz="0" w:space="0" w:color="auto"/>
          </w:divBdr>
        </w:div>
      </w:divsChild>
    </w:div>
    <w:div w:id="467281196">
      <w:bodyDiv w:val="1"/>
      <w:marLeft w:val="0"/>
      <w:marRight w:val="0"/>
      <w:marTop w:val="0"/>
      <w:marBottom w:val="0"/>
      <w:divBdr>
        <w:top w:val="none" w:sz="0" w:space="0" w:color="auto"/>
        <w:left w:val="none" w:sz="0" w:space="0" w:color="auto"/>
        <w:bottom w:val="none" w:sz="0" w:space="0" w:color="auto"/>
        <w:right w:val="none" w:sz="0" w:space="0" w:color="auto"/>
      </w:divBdr>
    </w:div>
    <w:div w:id="529029871">
      <w:bodyDiv w:val="1"/>
      <w:marLeft w:val="0"/>
      <w:marRight w:val="0"/>
      <w:marTop w:val="0"/>
      <w:marBottom w:val="0"/>
      <w:divBdr>
        <w:top w:val="none" w:sz="0" w:space="0" w:color="auto"/>
        <w:left w:val="none" w:sz="0" w:space="0" w:color="auto"/>
        <w:bottom w:val="none" w:sz="0" w:space="0" w:color="auto"/>
        <w:right w:val="none" w:sz="0" w:space="0" w:color="auto"/>
      </w:divBdr>
    </w:div>
    <w:div w:id="120313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E64EDCFB31B4CB1979EE8113592EC" ma:contentTypeVersion="16" ma:contentTypeDescription="Create a new document." ma:contentTypeScope="" ma:versionID="0a53708b7e4a482d34321f867f98ccb0">
  <xsd:schema xmlns:xsd="http://www.w3.org/2001/XMLSchema" xmlns:xs="http://www.w3.org/2001/XMLSchema" xmlns:p="http://schemas.microsoft.com/office/2006/metadata/properties" xmlns:ns1="http://schemas.microsoft.com/sharepoint/v3" xmlns:ns2="8867576c-7523-42bb-8f0c-69c7f63c2dac" xmlns:ns3="044759fe-3326-4f84-acc4-6ac823f2698a" targetNamespace="http://schemas.microsoft.com/office/2006/metadata/properties" ma:root="true" ma:fieldsID="92b881fd240b8a796f247fb559a3f4bc" ns1:_="" ns2:_="" ns3:_="">
    <xsd:import namespace="http://schemas.microsoft.com/sharepoint/v3"/>
    <xsd:import namespace="8867576c-7523-42bb-8f0c-69c7f63c2dac"/>
    <xsd:import namespace="044759fe-3326-4f84-acc4-6ac823f269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67576c-7523-42bb-8f0c-69c7f63c2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9746ba-156a-4ba1-8b97-10e5ed77a24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4759fe-3326-4f84-acc4-6ac823f2698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bd890c-640f-40f6-810e-51ad8da91640}" ma:internalName="TaxCatchAll" ma:showField="CatchAllData" ma:web="044759fe-3326-4f84-acc4-6ac823f269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67576c-7523-42bb-8f0c-69c7f63c2dac">
      <Terms xmlns="http://schemas.microsoft.com/office/infopath/2007/PartnerControls"/>
    </lcf76f155ced4ddcb4097134ff3c332f>
    <TaxCatchAll xmlns="044759fe-3326-4f84-acc4-6ac823f2698a"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49C00C7-613D-4D4C-B28A-E6850764D92A}"/>
</file>

<file path=customXml/itemProps2.xml><?xml version="1.0" encoding="utf-8"?>
<ds:datastoreItem xmlns:ds="http://schemas.openxmlformats.org/officeDocument/2006/customXml" ds:itemID="{97F2AE3C-0C33-4820-8F8C-7F89BCC54847}">
  <ds:schemaRefs>
    <ds:schemaRef ds:uri="http://schemas.microsoft.com/sharepoint/v3/contenttype/forms"/>
  </ds:schemaRefs>
</ds:datastoreItem>
</file>

<file path=customXml/itemProps3.xml><?xml version="1.0" encoding="utf-8"?>
<ds:datastoreItem xmlns:ds="http://schemas.openxmlformats.org/officeDocument/2006/customXml" ds:itemID="{694B5552-802A-4181-99AC-E50415A4FDFF}"/>
</file>

<file path=docProps/app.xml><?xml version="1.0" encoding="utf-8"?>
<Properties xmlns="http://schemas.openxmlformats.org/officeDocument/2006/extended-properties" xmlns:vt="http://schemas.openxmlformats.org/officeDocument/2006/docPropsVTypes">
  <Template>Normal</Template>
  <TotalTime>12</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Stadelberger</dc:creator>
  <cp:lastModifiedBy>Angele Tran</cp:lastModifiedBy>
  <cp:revision>11</cp:revision>
  <dcterms:created xsi:type="dcterms:W3CDTF">2020-01-16T15:18:00Z</dcterms:created>
  <dcterms:modified xsi:type="dcterms:W3CDTF">2026-01-13T14:24:00Z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0x010100FB9E64EDCFB31B4CB1979EE8113592EC</vt:lpwstr>
  </property>
  <property fmtid="{D5CDD505-2E9C-101B-9397-08002B2CF9AE}" pid="3" name="Order">
    <vt:r8>21165700</vt:r8>
  </property>
  <property fmtid="{D5CDD505-2E9C-101B-9397-08002B2CF9AE}" pid="4" name="MediaServiceImageTags">
    <vt:lpwstr/>
  </property>
</Properties>
</file>