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49EF" w14:textId="5C2E1E35" w:rsidR="00747CB1" w:rsidRPr="003353A9" w:rsidRDefault="00747CB1" w:rsidP="00747CB1">
      <w:pPr>
        <w:jc w:val="center"/>
        <w:rPr>
          <w:rFonts w:ascii="Book Antiqua" w:hAnsi="Book Antiqua" w:cs="Arial"/>
          <w:b/>
          <w:color w:val="006666"/>
          <w:sz w:val="24"/>
          <w:szCs w:val="24"/>
        </w:rPr>
      </w:pPr>
      <w:r w:rsidRPr="003353A9">
        <w:rPr>
          <w:rFonts w:ascii="Book Antiqua" w:hAnsi="Book Antiqua" w:cs="Arial"/>
          <w:color w:val="215868" w:themeColor="accent5" w:themeShade="80"/>
          <w:sz w:val="28"/>
        </w:rPr>
        <w:t>CMS Requirement for Compliance and Ethics Programs</w:t>
      </w:r>
    </w:p>
    <w:p w14:paraId="47610CF9" w14:textId="77777777" w:rsidR="00747CB1" w:rsidRPr="003353A9" w:rsidRDefault="00747CB1" w:rsidP="00747CB1">
      <w:pPr>
        <w:pStyle w:val="NoSpacing"/>
        <w:rPr>
          <w:rFonts w:ascii="Book Antiqua" w:hAnsi="Book Antiqua" w:cs="Arial"/>
        </w:rPr>
      </w:pPr>
    </w:p>
    <w:p w14:paraId="713B7A4E" w14:textId="04F03C2F" w:rsidR="00747CB1" w:rsidRPr="003353A9" w:rsidRDefault="00747CB1" w:rsidP="00747CB1">
      <w:pPr>
        <w:pStyle w:val="NoSpacing"/>
        <w:rPr>
          <w:rFonts w:ascii="Book Antiqua" w:hAnsi="Book Antiqua" w:cs="Arial"/>
        </w:rPr>
      </w:pPr>
      <w:r w:rsidRPr="003353A9">
        <w:rPr>
          <w:rFonts w:ascii="Book Antiqua" w:hAnsi="Book Antiqua" w:cs="Arial"/>
        </w:rPr>
        <w:t xml:space="preserve">The Affordable Care Act included a mandate that skilled nursing facilities and nursing homes adopt and implement an effective compliance and ethics program as a condition of participation in the Medicare and Medicaid programs. In November 2019, Compliance Programs become incorporated into the Centers for Medicare and Medicaid (CMS) regulations for Nursing Facilities. At that time, state survey agencies will begin assessing nursing facility development and implementation of an effective compliance and ethics program, as a condition for participation in the Medicare and Medicaid programs. It should be noted that the “Ethics” language is in reference to business ethics.  There is not </w:t>
      </w:r>
      <w:proofErr w:type="gramStart"/>
      <w:r w:rsidRPr="003353A9">
        <w:rPr>
          <w:rFonts w:ascii="Book Antiqua" w:hAnsi="Book Antiqua" w:cs="Arial"/>
        </w:rPr>
        <w:t>a mandate</w:t>
      </w:r>
      <w:proofErr w:type="gramEnd"/>
      <w:r w:rsidRPr="003353A9">
        <w:rPr>
          <w:rFonts w:ascii="Book Antiqua" w:hAnsi="Book Antiqua" w:cs="Arial"/>
        </w:rPr>
        <w:t xml:space="preserve"> for a medical ethics committee.  The following chart indicates the requirements of CMS compared to the current </w:t>
      </w:r>
      <w:r w:rsidR="00FF32C4">
        <w:rPr>
          <w:rFonts w:ascii="Book Antiqua" w:hAnsi="Book Antiqua" w:cs="Arial"/>
        </w:rPr>
        <w:t>AQORD</w:t>
      </w:r>
      <w:r w:rsidRPr="003353A9">
        <w:rPr>
          <w:rFonts w:ascii="Book Antiqua" w:hAnsi="Book Antiqua" w:cs="Arial"/>
        </w:rPr>
        <w:t xml:space="preserve"> Compliance </w:t>
      </w:r>
      <w:r w:rsidR="00022BAD" w:rsidRPr="003353A9">
        <w:rPr>
          <w:rFonts w:ascii="Book Antiqua" w:hAnsi="Book Antiqua" w:cs="Arial"/>
        </w:rPr>
        <w:t>Collaborative</w:t>
      </w:r>
      <w:r w:rsidRPr="003353A9">
        <w:rPr>
          <w:rFonts w:ascii="Book Antiqua" w:hAnsi="Book Antiqua" w:cs="Arial"/>
        </w:rPr>
        <w:t xml:space="preserve"> constructs implemented by your organization to meet or exceed the requirements.</w:t>
      </w:r>
    </w:p>
    <w:p w14:paraId="11CFF7FA" w14:textId="77777777" w:rsidR="00747CB1" w:rsidRPr="003353A9" w:rsidRDefault="00747CB1" w:rsidP="00747CB1">
      <w:pPr>
        <w:rPr>
          <w:rFonts w:ascii="Book Antiqua" w:hAnsi="Book Antiqua"/>
        </w:rPr>
      </w:pPr>
    </w:p>
    <w:tbl>
      <w:tblPr>
        <w:tblStyle w:val="TableGrid"/>
        <w:tblW w:w="0" w:type="auto"/>
        <w:tblLook w:val="04A0" w:firstRow="1" w:lastRow="0" w:firstColumn="1" w:lastColumn="0" w:noHBand="0" w:noVBand="1"/>
      </w:tblPr>
      <w:tblGrid>
        <w:gridCol w:w="4675"/>
        <w:gridCol w:w="4675"/>
      </w:tblGrid>
      <w:tr w:rsidR="00747CB1" w:rsidRPr="003353A9" w14:paraId="4C7BBFA3" w14:textId="77777777" w:rsidTr="00E33BA8">
        <w:trPr>
          <w:tblHeader/>
        </w:trPr>
        <w:tc>
          <w:tcPr>
            <w:tcW w:w="4675" w:type="dxa"/>
            <w:shd w:val="clear" w:color="auto" w:fill="215868" w:themeFill="accent5" w:themeFillShade="80"/>
          </w:tcPr>
          <w:p w14:paraId="7268EC30" w14:textId="77777777" w:rsidR="00747CB1" w:rsidRPr="003353A9" w:rsidRDefault="00747CB1" w:rsidP="004F1ABE">
            <w:pPr>
              <w:pStyle w:val="NoSpacing"/>
              <w:rPr>
                <w:rFonts w:ascii="Book Antiqua" w:hAnsi="Book Antiqua" w:cs="Arial"/>
                <w:b/>
                <w:color w:val="FFFFFF" w:themeColor="background1"/>
              </w:rPr>
            </w:pPr>
            <w:r w:rsidRPr="003353A9">
              <w:rPr>
                <w:rFonts w:ascii="Book Antiqua" w:hAnsi="Book Antiqua" w:cs="Arial"/>
                <w:b/>
                <w:color w:val="FFFFFF" w:themeColor="background1"/>
              </w:rPr>
              <w:t xml:space="preserve">CMS Requirements </w:t>
            </w:r>
          </w:p>
        </w:tc>
        <w:tc>
          <w:tcPr>
            <w:tcW w:w="4675" w:type="dxa"/>
            <w:shd w:val="clear" w:color="auto" w:fill="215868" w:themeFill="accent5" w:themeFillShade="80"/>
          </w:tcPr>
          <w:p w14:paraId="3E39DA62" w14:textId="77777777" w:rsidR="00747CB1" w:rsidRPr="003353A9" w:rsidRDefault="00747CB1" w:rsidP="004F1ABE">
            <w:pPr>
              <w:pStyle w:val="NoSpacing"/>
              <w:rPr>
                <w:rFonts w:ascii="Book Antiqua" w:hAnsi="Book Antiqua" w:cs="Arial"/>
                <w:b/>
                <w:color w:val="FFFFFF" w:themeColor="background1"/>
              </w:rPr>
            </w:pPr>
            <w:r w:rsidRPr="003353A9">
              <w:rPr>
                <w:rFonts w:ascii="Book Antiqua" w:hAnsi="Book Antiqua" w:cs="Arial"/>
                <w:b/>
                <w:color w:val="FFFFFF" w:themeColor="background1"/>
              </w:rPr>
              <w:t>Current Compliance Program</w:t>
            </w:r>
          </w:p>
        </w:tc>
      </w:tr>
      <w:tr w:rsidR="00747CB1" w:rsidRPr="003353A9" w14:paraId="067345EE" w14:textId="77777777" w:rsidTr="004F1ABE">
        <w:tc>
          <w:tcPr>
            <w:tcW w:w="4675" w:type="dxa"/>
          </w:tcPr>
          <w:p w14:paraId="4273A87B" w14:textId="77777777" w:rsidR="00747CB1" w:rsidRPr="003353A9" w:rsidRDefault="00747CB1" w:rsidP="004F1ABE">
            <w:pPr>
              <w:pStyle w:val="NoSpacing"/>
              <w:rPr>
                <w:rFonts w:ascii="Book Antiqua" w:hAnsi="Book Antiqua"/>
              </w:rPr>
            </w:pPr>
            <w:r w:rsidRPr="003353A9">
              <w:rPr>
                <w:rFonts w:ascii="Book Antiqua" w:hAnsi="Book Antiqua"/>
              </w:rPr>
              <w:t>483.85 Compliance and ethics program</w:t>
            </w:r>
            <w:r w:rsidR="006C663B" w:rsidRPr="003353A9">
              <w:rPr>
                <w:rFonts w:ascii="Book Antiqua" w:hAnsi="Book Antiqua"/>
              </w:rPr>
              <w:t xml:space="preserve"> d</w:t>
            </w:r>
            <w:r w:rsidRPr="003353A9">
              <w:rPr>
                <w:rFonts w:ascii="Book Antiqua" w:hAnsi="Book Antiqua"/>
              </w:rPr>
              <w:t>efinitions.</w:t>
            </w:r>
          </w:p>
          <w:p w14:paraId="6A134F79" w14:textId="77777777" w:rsidR="00747CB1" w:rsidRPr="003353A9" w:rsidRDefault="00747CB1" w:rsidP="004F1ABE">
            <w:pPr>
              <w:pStyle w:val="NoSpacing"/>
              <w:rPr>
                <w:rFonts w:ascii="Book Antiqua" w:hAnsi="Book Antiqua"/>
              </w:rPr>
            </w:pPr>
            <w:r w:rsidRPr="003353A9">
              <w:rPr>
                <w:rFonts w:ascii="Book Antiqua" w:hAnsi="Book Antiqua"/>
              </w:rPr>
              <w:t xml:space="preserve">High-level personnel </w:t>
            </w:r>
            <w:proofErr w:type="gramStart"/>
            <w:r w:rsidRPr="003353A9">
              <w:rPr>
                <w:rFonts w:ascii="Book Antiqua" w:hAnsi="Book Antiqua"/>
              </w:rPr>
              <w:t>means</w:t>
            </w:r>
            <w:proofErr w:type="gramEnd"/>
            <w:r w:rsidRPr="003353A9">
              <w:rPr>
                <w:rFonts w:ascii="Book Antiqua" w:hAnsi="Book Antiqua"/>
              </w:rPr>
              <w:t xml:space="preserve"> individual(s) who have substantial control over the operating organization or who have a substantial role in the making of policy within the operating organization.</w:t>
            </w:r>
          </w:p>
          <w:p w14:paraId="01DCB82B" w14:textId="77777777" w:rsidR="00747CB1" w:rsidRPr="003353A9" w:rsidRDefault="00747CB1" w:rsidP="004F1ABE">
            <w:pPr>
              <w:pStyle w:val="NoSpacing"/>
              <w:rPr>
                <w:rFonts w:ascii="Book Antiqua" w:hAnsi="Book Antiqua"/>
              </w:rPr>
            </w:pPr>
            <w:r w:rsidRPr="003353A9">
              <w:rPr>
                <w:rFonts w:ascii="Book Antiqua" w:hAnsi="Book Antiqua"/>
              </w:rPr>
              <w:t>Operating organization means the individual(s) or entity that operates a facility.</w:t>
            </w:r>
          </w:p>
        </w:tc>
        <w:tc>
          <w:tcPr>
            <w:tcW w:w="4675" w:type="dxa"/>
          </w:tcPr>
          <w:p w14:paraId="0B91E99E" w14:textId="26805301" w:rsidR="00747CB1" w:rsidRPr="003353A9" w:rsidRDefault="00747CB1" w:rsidP="004F1ABE">
            <w:pPr>
              <w:rPr>
                <w:rFonts w:ascii="Book Antiqua" w:hAnsi="Book Antiqua"/>
                <w:szCs w:val="24"/>
              </w:rPr>
            </w:pPr>
            <w:r w:rsidRPr="003353A9">
              <w:rPr>
                <w:rFonts w:ascii="Book Antiqua" w:hAnsi="Book Antiqua"/>
              </w:rPr>
              <w:t xml:space="preserve">The Compliance Program identifies the </w:t>
            </w:r>
            <w:r w:rsidR="00FF32C4">
              <w:rPr>
                <w:rFonts w:ascii="Book Antiqua" w:hAnsi="Book Antiqua"/>
              </w:rPr>
              <w:t>AQORD</w:t>
            </w:r>
            <w:r w:rsidRPr="003353A9">
              <w:rPr>
                <w:rFonts w:ascii="Book Antiqua" w:hAnsi="Book Antiqua"/>
              </w:rPr>
              <w:t xml:space="preserve"> VP of Compliance, Karla Dreisbach, as the Compliance Officer through a contractual relationship. The contract also defines a </w:t>
            </w:r>
            <w:proofErr w:type="gramStart"/>
            <w:r w:rsidRPr="003353A9">
              <w:rPr>
                <w:rFonts w:ascii="Book Antiqua" w:hAnsi="Book Antiqua"/>
              </w:rPr>
              <w:t>High Level</w:t>
            </w:r>
            <w:proofErr w:type="gramEnd"/>
            <w:r w:rsidRPr="003353A9">
              <w:rPr>
                <w:rFonts w:ascii="Book Antiqua" w:hAnsi="Book Antiqua"/>
              </w:rPr>
              <w:t xml:space="preserve"> Official within the organization who has oversight of the compliance program. The Compliance Official is the on- site “face of compliance” and spearheads the compliance committee as well as investigations and compliance related education among other thing</w:t>
            </w:r>
            <w:r w:rsidR="00E33BA8" w:rsidRPr="003353A9">
              <w:rPr>
                <w:rFonts w:ascii="Book Antiqua" w:hAnsi="Book Antiqua"/>
              </w:rPr>
              <w:t>s</w:t>
            </w:r>
            <w:r w:rsidRPr="003353A9">
              <w:rPr>
                <w:rFonts w:ascii="Book Antiqua" w:hAnsi="Book Antiqua"/>
              </w:rPr>
              <w:t xml:space="preserve">. </w:t>
            </w:r>
          </w:p>
          <w:p w14:paraId="77BC1B61" w14:textId="77777777" w:rsidR="00747CB1" w:rsidRPr="003353A9" w:rsidRDefault="00747CB1" w:rsidP="004F1ABE">
            <w:pPr>
              <w:pStyle w:val="NoSpacing"/>
              <w:rPr>
                <w:rFonts w:ascii="Book Antiqua" w:hAnsi="Book Antiqua"/>
              </w:rPr>
            </w:pPr>
            <w:r w:rsidRPr="003353A9">
              <w:rPr>
                <w:rFonts w:ascii="Book Antiqua" w:hAnsi="Book Antiqua"/>
              </w:rPr>
              <w:t>The board has the responsibility for the oversight of the compliance program as the “operating organization.”</w:t>
            </w:r>
          </w:p>
        </w:tc>
      </w:tr>
      <w:tr w:rsidR="00747CB1" w:rsidRPr="003353A9" w14:paraId="4A40EBF5" w14:textId="77777777" w:rsidTr="004F1ABE">
        <w:tc>
          <w:tcPr>
            <w:tcW w:w="4675" w:type="dxa"/>
          </w:tcPr>
          <w:p w14:paraId="0F4E5CCF" w14:textId="77777777" w:rsidR="00747CB1" w:rsidRPr="003353A9" w:rsidRDefault="00747CB1" w:rsidP="004F1ABE">
            <w:pPr>
              <w:pStyle w:val="NoSpacing"/>
              <w:rPr>
                <w:rFonts w:ascii="Book Antiqua" w:hAnsi="Book Antiqua"/>
              </w:rPr>
            </w:pPr>
            <w:r w:rsidRPr="003353A9">
              <w:rPr>
                <w:rFonts w:ascii="Book Antiqua" w:hAnsi="Book Antiqua"/>
              </w:rPr>
              <w:t>Beginning on November 28, 2019, the operating organization for each facility must have in operation a compliance and ethics program.</w:t>
            </w:r>
          </w:p>
          <w:p w14:paraId="4C4B1E28" w14:textId="77777777" w:rsidR="00747CB1" w:rsidRPr="003353A9" w:rsidRDefault="00747CB1" w:rsidP="004F1ABE">
            <w:pPr>
              <w:pStyle w:val="NoSpacing"/>
              <w:rPr>
                <w:rFonts w:ascii="Book Antiqua" w:hAnsi="Book Antiqua"/>
              </w:rPr>
            </w:pPr>
            <w:r w:rsidRPr="003353A9">
              <w:rPr>
                <w:rFonts w:ascii="Book Antiqua" w:hAnsi="Book Antiqua"/>
              </w:rPr>
              <w:t>Required components for all facilities:</w:t>
            </w:r>
          </w:p>
          <w:p w14:paraId="78D0BDC5" w14:textId="77777777" w:rsidR="00747CB1" w:rsidRPr="003353A9" w:rsidRDefault="00747CB1" w:rsidP="004F1ABE">
            <w:pPr>
              <w:pStyle w:val="NoSpacing"/>
              <w:rPr>
                <w:rFonts w:ascii="Book Antiqua" w:hAnsi="Book Antiqua"/>
              </w:rPr>
            </w:pPr>
            <w:r w:rsidRPr="003353A9">
              <w:rPr>
                <w:rFonts w:ascii="Book Antiqua" w:hAnsi="Book Antiqua"/>
              </w:rPr>
              <w:t>Compliance and ethics program means, with respect to a facility, a program of the operating organization that—</w:t>
            </w:r>
          </w:p>
          <w:p w14:paraId="7B0D1537" w14:textId="77777777" w:rsidR="00747CB1" w:rsidRPr="003353A9" w:rsidRDefault="00747CB1" w:rsidP="00A2501B">
            <w:pPr>
              <w:pStyle w:val="NoSpacing"/>
              <w:rPr>
                <w:rFonts w:ascii="Book Antiqua" w:hAnsi="Book Antiqua"/>
              </w:rPr>
            </w:pPr>
            <w:proofErr w:type="gramStart"/>
            <w:r w:rsidRPr="003353A9">
              <w:rPr>
                <w:rFonts w:ascii="Book Antiqua" w:hAnsi="Book Antiqua"/>
              </w:rPr>
              <w:t>Has</w:t>
            </w:r>
            <w:proofErr w:type="gramEnd"/>
            <w:r w:rsidRPr="003353A9">
              <w:rPr>
                <w:rFonts w:ascii="Book Antiqua" w:hAnsi="Book Antiqua"/>
              </w:rPr>
              <w:t xml:space="preserve"> been reasonably designed, implemented, and enforced so that it is likely to be effective in preventing and detecting criminal, civil, and administrative violations under the Act and in prom</w:t>
            </w:r>
            <w:r w:rsidR="00A2501B" w:rsidRPr="003353A9">
              <w:rPr>
                <w:rFonts w:ascii="Book Antiqua" w:hAnsi="Book Antiqua"/>
              </w:rPr>
              <w:t>oting quality of care.</w:t>
            </w:r>
          </w:p>
        </w:tc>
        <w:tc>
          <w:tcPr>
            <w:tcW w:w="4675" w:type="dxa"/>
          </w:tcPr>
          <w:p w14:paraId="3FF3D97D" w14:textId="3ADBF447" w:rsidR="00747CB1" w:rsidRPr="003353A9" w:rsidRDefault="00747CB1" w:rsidP="004F1ABE">
            <w:pPr>
              <w:pStyle w:val="NoSpacing"/>
              <w:rPr>
                <w:rFonts w:ascii="Book Antiqua" w:hAnsi="Book Antiqua"/>
              </w:rPr>
            </w:pPr>
            <w:r w:rsidRPr="003353A9">
              <w:rPr>
                <w:rFonts w:ascii="Book Antiqua" w:hAnsi="Book Antiqua"/>
              </w:rPr>
              <w:t xml:space="preserve">The </w:t>
            </w:r>
            <w:r w:rsidR="00FF32C4">
              <w:rPr>
                <w:rFonts w:ascii="Book Antiqua" w:hAnsi="Book Antiqua"/>
              </w:rPr>
              <w:t>AQORD</w:t>
            </w:r>
            <w:r w:rsidRPr="003353A9">
              <w:rPr>
                <w:rFonts w:ascii="Book Antiqua" w:hAnsi="Book Antiqua"/>
              </w:rPr>
              <w:t xml:space="preserve"> Compliance </w:t>
            </w:r>
            <w:r w:rsidR="00022BAD" w:rsidRPr="003353A9">
              <w:rPr>
                <w:rFonts w:ascii="Book Antiqua" w:hAnsi="Book Antiqua"/>
              </w:rPr>
              <w:t xml:space="preserve">Collaborative </w:t>
            </w:r>
            <w:r w:rsidRPr="003353A9">
              <w:rPr>
                <w:rFonts w:ascii="Book Antiqua" w:hAnsi="Book Antiqua"/>
              </w:rPr>
              <w:t xml:space="preserve">is designed to meet the expectations of the Office of Inspector General, Department of Human Services (OIG), CMS Conditions of Participation for Skilled Nursing Homes and other regulatory, governmental and legal requirements associated with preventing and detecting criminal, civil and administrative violations, including quality of care areas. </w:t>
            </w:r>
          </w:p>
          <w:p w14:paraId="08EB69A7" w14:textId="77777777" w:rsidR="00747CB1" w:rsidRPr="003353A9" w:rsidRDefault="00747CB1" w:rsidP="004F1ABE">
            <w:pPr>
              <w:pStyle w:val="NoSpacing"/>
              <w:rPr>
                <w:rFonts w:ascii="Book Antiqua" w:hAnsi="Book Antiqua"/>
              </w:rPr>
            </w:pPr>
            <w:r w:rsidRPr="003353A9">
              <w:rPr>
                <w:rFonts w:ascii="Book Antiqua" w:hAnsi="Book Antiqua"/>
              </w:rPr>
              <w:t xml:space="preserve">The foundational document of the program is the Code of Conduct – Compliance and Ethics Program. The Code is provided to all stakeholders on hire or initial contract and outlines compliance expectations. It is also reviewed annually with an attestation of their knowledge and understanding of the Code. </w:t>
            </w:r>
          </w:p>
        </w:tc>
      </w:tr>
      <w:tr w:rsidR="00747CB1" w:rsidRPr="003353A9" w14:paraId="2F03965F" w14:textId="77777777" w:rsidTr="004F1ABE">
        <w:tc>
          <w:tcPr>
            <w:tcW w:w="4675" w:type="dxa"/>
          </w:tcPr>
          <w:p w14:paraId="37A8EA00" w14:textId="77777777" w:rsidR="00747CB1" w:rsidRPr="003353A9" w:rsidRDefault="00747CB1" w:rsidP="004F1ABE">
            <w:pPr>
              <w:pStyle w:val="NoSpacing"/>
              <w:rPr>
                <w:rFonts w:ascii="Book Antiqua" w:hAnsi="Book Antiqua"/>
              </w:rPr>
            </w:pPr>
            <w:r w:rsidRPr="003353A9">
              <w:rPr>
                <w:rFonts w:ascii="Book Antiqua" w:hAnsi="Book Antiqua"/>
              </w:rPr>
              <w:lastRenderedPageBreak/>
              <w:t>Established written compliance and ethics standards, policies, and procedures to follow that are reasonably capable of reducing the prospect of criminal, civil, and administrative violations under the Act and promote quality of care, which include, but are not limited to, the designation of an appropriate compliance and ethics program contact to which individuals may report suspected violations, as well as an alternate method of reporting suspected violations anonymously without fear of retribution; and disciplinary standards that set out the consequences for committing violations for the operating organization's entire staff; individuals providing services under a contractual arrangement; and volunteers, consistent with the volunteers' expected roles.</w:t>
            </w:r>
          </w:p>
        </w:tc>
        <w:tc>
          <w:tcPr>
            <w:tcW w:w="4675" w:type="dxa"/>
          </w:tcPr>
          <w:p w14:paraId="6625CD3A" w14:textId="77777777" w:rsidR="00747CB1" w:rsidRPr="003353A9" w:rsidRDefault="00747CB1" w:rsidP="004F1ABE">
            <w:pPr>
              <w:pStyle w:val="NoSpacing"/>
              <w:rPr>
                <w:rFonts w:ascii="Book Antiqua" w:hAnsi="Book Antiqua"/>
              </w:rPr>
            </w:pPr>
            <w:r w:rsidRPr="003353A9">
              <w:rPr>
                <w:rFonts w:ascii="Book Antiqua" w:hAnsi="Book Antiqua"/>
              </w:rPr>
              <w:t>In conjunction with the Code of Conduct, there is a hotline that allows anonymous reporting of compliance concerns.  There are compliance supporting policies and procedures that address the following</w:t>
            </w:r>
            <w:r w:rsidR="00A2501B" w:rsidRPr="003353A9">
              <w:rPr>
                <w:rFonts w:ascii="Book Antiqua" w:hAnsi="Book Antiqua"/>
              </w:rPr>
              <w:t>:</w:t>
            </w:r>
          </w:p>
          <w:p w14:paraId="533F11FF"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Auditing and Monitoring</w:t>
            </w:r>
          </w:p>
          <w:p w14:paraId="35A23B01"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Business Courtesies</w:t>
            </w:r>
          </w:p>
          <w:p w14:paraId="2BBE6743"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Code of Conduct</w:t>
            </w:r>
          </w:p>
          <w:p w14:paraId="1917684B"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Committee</w:t>
            </w:r>
          </w:p>
          <w:p w14:paraId="3208D220"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Committee Non-Disclosure</w:t>
            </w:r>
          </w:p>
          <w:p w14:paraId="1771D70A"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Education and Training</w:t>
            </w:r>
          </w:p>
          <w:p w14:paraId="05536411"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Issue Resolution</w:t>
            </w:r>
          </w:p>
          <w:p w14:paraId="6B3293F3"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Officer</w:t>
            </w:r>
          </w:p>
          <w:p w14:paraId="0E62BED3" w14:textId="77777777" w:rsidR="00747CB1" w:rsidRDefault="00747CB1" w:rsidP="00747CB1">
            <w:pPr>
              <w:pStyle w:val="NoSpacing"/>
              <w:numPr>
                <w:ilvl w:val="0"/>
                <w:numId w:val="7"/>
              </w:numPr>
              <w:rPr>
                <w:rFonts w:ascii="Book Antiqua" w:hAnsi="Book Antiqua"/>
                <w:i/>
              </w:rPr>
            </w:pPr>
            <w:r w:rsidRPr="003353A9">
              <w:rPr>
                <w:rFonts w:ascii="Book Antiqua" w:hAnsi="Book Antiqua"/>
                <w:i/>
              </w:rPr>
              <w:t>Compliance Records Management</w:t>
            </w:r>
          </w:p>
          <w:p w14:paraId="447353B2" w14:textId="49D54BAA" w:rsidR="003353A9" w:rsidRPr="003353A9" w:rsidRDefault="003353A9" w:rsidP="00747CB1">
            <w:pPr>
              <w:pStyle w:val="NoSpacing"/>
              <w:numPr>
                <w:ilvl w:val="0"/>
                <w:numId w:val="7"/>
              </w:numPr>
              <w:rPr>
                <w:rFonts w:ascii="Book Antiqua" w:hAnsi="Book Antiqua"/>
                <w:i/>
              </w:rPr>
            </w:pPr>
            <w:r w:rsidRPr="003353A9">
              <w:rPr>
                <w:rFonts w:ascii="Book Antiqua" w:hAnsi="Book Antiqua"/>
                <w:i/>
              </w:rPr>
              <w:t>Compliance Risk Assessment and Work Plan</w:t>
            </w:r>
          </w:p>
          <w:p w14:paraId="7D3F6DB4"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With False Claims Act and Civil Monetary Penalties Laws</w:t>
            </w:r>
          </w:p>
          <w:p w14:paraId="0560966B"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With the Anti-Kickback Statute</w:t>
            </w:r>
          </w:p>
          <w:p w14:paraId="65773C71"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With the Physician Self-Referral Law (Stark Law)</w:t>
            </w:r>
          </w:p>
          <w:p w14:paraId="2A56B662"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Conflict of Interest</w:t>
            </w:r>
          </w:p>
          <w:p w14:paraId="5B9FA6B1"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Deficit Reduction Act of 2005 Requirements</w:t>
            </w:r>
          </w:p>
          <w:p w14:paraId="16CAAD05" w14:textId="77777777" w:rsidR="00747CB1" w:rsidRDefault="00747CB1" w:rsidP="00747CB1">
            <w:pPr>
              <w:pStyle w:val="NoSpacing"/>
              <w:numPr>
                <w:ilvl w:val="0"/>
                <w:numId w:val="7"/>
              </w:numPr>
              <w:rPr>
                <w:rFonts w:ascii="Book Antiqua" w:hAnsi="Book Antiqua"/>
                <w:i/>
              </w:rPr>
            </w:pPr>
            <w:r w:rsidRPr="003353A9">
              <w:rPr>
                <w:rFonts w:ascii="Book Antiqua" w:hAnsi="Book Antiqua"/>
                <w:i/>
              </w:rPr>
              <w:t>Enforcing the Code of Conduct</w:t>
            </w:r>
          </w:p>
          <w:p w14:paraId="18AD6C3C" w14:textId="39E1E8C4" w:rsidR="003353A9" w:rsidRPr="003353A9" w:rsidRDefault="003353A9" w:rsidP="00747CB1">
            <w:pPr>
              <w:pStyle w:val="NoSpacing"/>
              <w:numPr>
                <w:ilvl w:val="0"/>
                <w:numId w:val="7"/>
              </w:numPr>
              <w:rPr>
                <w:rFonts w:ascii="Book Antiqua" w:hAnsi="Book Antiqua"/>
                <w:i/>
              </w:rPr>
            </w:pPr>
            <w:r w:rsidRPr="003353A9">
              <w:rPr>
                <w:rFonts w:ascii="Book Antiqua" w:hAnsi="Book Antiqua"/>
                <w:i/>
              </w:rPr>
              <w:t>Integration of Compliance Quality and Safety</w:t>
            </w:r>
          </w:p>
          <w:p w14:paraId="785C4EB0"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Non-Retaliation Policy</w:t>
            </w:r>
          </w:p>
          <w:p w14:paraId="26620F6A"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Compliance Hotline</w:t>
            </w:r>
          </w:p>
          <w:p w14:paraId="6DE88484"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Reporting Suspected Crimes Under the Federal Elder Justice Act</w:t>
            </w:r>
          </w:p>
          <w:p w14:paraId="0C30A7DA"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Resident Gifts</w:t>
            </w:r>
          </w:p>
          <w:p w14:paraId="41A41F40"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Rights and Obligations of Personnel if Contacted by a Government Attorney or Agent</w:t>
            </w:r>
          </w:p>
          <w:p w14:paraId="504FB7E9"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Role and Responsibility of Compliance Official</w:t>
            </w:r>
          </w:p>
          <w:p w14:paraId="1D4F416F"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 xml:space="preserve">Role and Responsibility of </w:t>
            </w:r>
            <w:proofErr w:type="gramStart"/>
            <w:r w:rsidRPr="003353A9">
              <w:rPr>
                <w:rFonts w:ascii="Book Antiqua" w:hAnsi="Book Antiqua"/>
                <w:i/>
              </w:rPr>
              <w:t>High Level</w:t>
            </w:r>
            <w:proofErr w:type="gramEnd"/>
            <w:r w:rsidRPr="003353A9">
              <w:rPr>
                <w:rFonts w:ascii="Book Antiqua" w:hAnsi="Book Antiqua"/>
                <w:i/>
              </w:rPr>
              <w:t xml:space="preserve"> Official</w:t>
            </w:r>
          </w:p>
          <w:p w14:paraId="048E065C" w14:textId="77777777" w:rsidR="00747CB1" w:rsidRPr="003353A9" w:rsidRDefault="00747CB1" w:rsidP="00747CB1">
            <w:pPr>
              <w:pStyle w:val="NoSpacing"/>
              <w:numPr>
                <w:ilvl w:val="0"/>
                <w:numId w:val="7"/>
              </w:numPr>
              <w:rPr>
                <w:rFonts w:ascii="Book Antiqua" w:hAnsi="Book Antiqua"/>
                <w:i/>
              </w:rPr>
            </w:pPr>
            <w:proofErr w:type="gramStart"/>
            <w:r w:rsidRPr="003353A9">
              <w:rPr>
                <w:rFonts w:ascii="Book Antiqua" w:hAnsi="Book Antiqua"/>
                <w:i/>
              </w:rPr>
              <w:t>Sanction Screening</w:t>
            </w:r>
            <w:proofErr w:type="gramEnd"/>
            <w:r w:rsidRPr="003353A9">
              <w:rPr>
                <w:rFonts w:ascii="Book Antiqua" w:hAnsi="Book Antiqua"/>
                <w:i/>
              </w:rPr>
              <w:t xml:space="preserve"> and Disclosure</w:t>
            </w:r>
          </w:p>
          <w:p w14:paraId="5796B264"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Triple Check Policy</w:t>
            </w:r>
          </w:p>
          <w:p w14:paraId="4B467E4B"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Vendor Agreements</w:t>
            </w:r>
          </w:p>
          <w:p w14:paraId="6A67E686" w14:textId="77777777" w:rsidR="00747CB1" w:rsidRPr="003353A9" w:rsidRDefault="00747CB1" w:rsidP="00747CB1">
            <w:pPr>
              <w:pStyle w:val="NoSpacing"/>
              <w:numPr>
                <w:ilvl w:val="0"/>
                <w:numId w:val="7"/>
              </w:numPr>
              <w:rPr>
                <w:rFonts w:ascii="Book Antiqua" w:hAnsi="Book Antiqua"/>
                <w:i/>
              </w:rPr>
            </w:pPr>
            <w:r w:rsidRPr="003353A9">
              <w:rPr>
                <w:rFonts w:ascii="Book Antiqua" w:hAnsi="Book Antiqua"/>
                <w:i/>
              </w:rPr>
              <w:t xml:space="preserve">Reporting and Repaying Medicare A and Medicare B Overpayments </w:t>
            </w:r>
          </w:p>
        </w:tc>
      </w:tr>
      <w:tr w:rsidR="00747CB1" w:rsidRPr="003353A9" w14:paraId="49FDA827" w14:textId="77777777" w:rsidTr="004F1ABE">
        <w:trPr>
          <w:trHeight w:val="3140"/>
        </w:trPr>
        <w:tc>
          <w:tcPr>
            <w:tcW w:w="4675" w:type="dxa"/>
          </w:tcPr>
          <w:p w14:paraId="37AC7F5F" w14:textId="77777777" w:rsidR="00747CB1" w:rsidRPr="003353A9" w:rsidRDefault="00747CB1" w:rsidP="004F1ABE">
            <w:pPr>
              <w:pStyle w:val="NoSpacing"/>
              <w:rPr>
                <w:rFonts w:ascii="Book Antiqua" w:hAnsi="Book Antiqua"/>
              </w:rPr>
            </w:pPr>
            <w:r w:rsidRPr="003353A9">
              <w:rPr>
                <w:rFonts w:ascii="Book Antiqua" w:hAnsi="Book Antiqua"/>
              </w:rPr>
              <w:lastRenderedPageBreak/>
              <w:t>Assignment of specific individuals within the high-level personnel of the operating organization with the overall responsibility to oversee compliance with the operating organization's compliance and ethics program's standards, policies, and procedures, such as, but not limited to, the chief executive officer (CEO), members of the board of directors, or directors of major divisions in the operating organization.</w:t>
            </w:r>
          </w:p>
        </w:tc>
        <w:tc>
          <w:tcPr>
            <w:tcW w:w="4675" w:type="dxa"/>
          </w:tcPr>
          <w:p w14:paraId="6F9F3693" w14:textId="360054F4" w:rsidR="00747CB1" w:rsidRPr="003353A9" w:rsidRDefault="00747CB1" w:rsidP="004F1ABE">
            <w:pPr>
              <w:pStyle w:val="NoSpacing"/>
              <w:rPr>
                <w:rFonts w:ascii="Book Antiqua" w:hAnsi="Book Antiqua"/>
              </w:rPr>
            </w:pPr>
            <w:r w:rsidRPr="003353A9">
              <w:rPr>
                <w:rFonts w:ascii="Book Antiqua" w:hAnsi="Book Antiqua"/>
              </w:rPr>
              <w:t xml:space="preserve">The Board of Directors has the general oversight of the compliance program. High level staff are part of the Compliance Committee to assist in overseeing the compliance program. The Compliance Committee is comprised of leadership staff from the various lines of business within the organization and meets on a quarterly basis. The Compliance </w:t>
            </w:r>
            <w:proofErr w:type="gramStart"/>
            <w:r w:rsidRPr="003353A9">
              <w:rPr>
                <w:rFonts w:ascii="Book Antiqua" w:hAnsi="Book Antiqua"/>
              </w:rPr>
              <w:t>Official,</w:t>
            </w:r>
            <w:proofErr w:type="gramEnd"/>
            <w:r w:rsidRPr="003353A9">
              <w:rPr>
                <w:rFonts w:ascii="Book Antiqua" w:hAnsi="Book Antiqua"/>
              </w:rPr>
              <w:t xml:space="preserve"> coordinates various compliance activities and is the point person for the organization with the </w:t>
            </w:r>
            <w:r w:rsidR="003353A9">
              <w:rPr>
                <w:rFonts w:ascii="Book Antiqua" w:hAnsi="Book Antiqua"/>
              </w:rPr>
              <w:t xml:space="preserve">AQORD </w:t>
            </w:r>
            <w:r w:rsidRPr="003353A9">
              <w:rPr>
                <w:rFonts w:ascii="Book Antiqua" w:hAnsi="Book Antiqua"/>
              </w:rPr>
              <w:t xml:space="preserve">Compliance </w:t>
            </w:r>
            <w:r w:rsidR="00022BAD" w:rsidRPr="003353A9">
              <w:rPr>
                <w:rFonts w:ascii="Book Antiqua" w:hAnsi="Book Antiqua"/>
              </w:rPr>
              <w:t>Collaborative</w:t>
            </w:r>
            <w:r w:rsidRPr="003353A9">
              <w:rPr>
                <w:rFonts w:ascii="Book Antiqua" w:hAnsi="Book Antiqua"/>
              </w:rPr>
              <w:t>.</w:t>
            </w:r>
          </w:p>
        </w:tc>
      </w:tr>
      <w:tr w:rsidR="00747CB1" w:rsidRPr="003353A9" w14:paraId="12ACA06A" w14:textId="77777777" w:rsidTr="004F1ABE">
        <w:tc>
          <w:tcPr>
            <w:tcW w:w="4675" w:type="dxa"/>
          </w:tcPr>
          <w:p w14:paraId="2328B8A9" w14:textId="77777777" w:rsidR="00747CB1" w:rsidRPr="003353A9" w:rsidRDefault="00747CB1" w:rsidP="004F1ABE">
            <w:pPr>
              <w:pStyle w:val="NoSpacing"/>
              <w:rPr>
                <w:rFonts w:ascii="Book Antiqua" w:hAnsi="Book Antiqua"/>
              </w:rPr>
            </w:pPr>
            <w:r w:rsidRPr="003353A9">
              <w:rPr>
                <w:rFonts w:ascii="Book Antiqua" w:hAnsi="Book Antiqua"/>
              </w:rPr>
              <w:t>Sufficient resources and authority to the specific individuals designated by the organization to reasonably assure compliance with such standards, policies, and procedures.</w:t>
            </w:r>
          </w:p>
        </w:tc>
        <w:tc>
          <w:tcPr>
            <w:tcW w:w="4675" w:type="dxa"/>
          </w:tcPr>
          <w:p w14:paraId="6C40F2B9" w14:textId="77777777" w:rsidR="00747CB1" w:rsidRPr="003353A9" w:rsidRDefault="00747CB1" w:rsidP="004F1ABE">
            <w:pPr>
              <w:pStyle w:val="NoSpacing"/>
              <w:rPr>
                <w:rFonts w:ascii="Book Antiqua" w:hAnsi="Book Antiqua"/>
              </w:rPr>
            </w:pPr>
            <w:r w:rsidRPr="003353A9">
              <w:rPr>
                <w:rFonts w:ascii="Book Antiqua" w:hAnsi="Book Antiqua"/>
              </w:rPr>
              <w:t xml:space="preserve">The utilization of outside resources </w:t>
            </w:r>
            <w:proofErr w:type="gramStart"/>
            <w:r w:rsidRPr="003353A9">
              <w:rPr>
                <w:rFonts w:ascii="Book Antiqua" w:hAnsi="Book Antiqua"/>
              </w:rPr>
              <w:t>speaks</w:t>
            </w:r>
            <w:proofErr w:type="gramEnd"/>
            <w:r w:rsidRPr="003353A9">
              <w:rPr>
                <w:rFonts w:ascii="Book Antiqua" w:hAnsi="Book Antiqua"/>
              </w:rPr>
              <w:t xml:space="preserve"> the board’s commitment to compliance. The designation of internal staff to manage the compliance program also indicates a firm commitment to the </w:t>
            </w:r>
            <w:proofErr w:type="gramStart"/>
            <w:r w:rsidRPr="003353A9">
              <w:rPr>
                <w:rFonts w:ascii="Book Antiqua" w:hAnsi="Book Antiqua"/>
              </w:rPr>
              <w:t>program as a whole</w:t>
            </w:r>
            <w:proofErr w:type="gramEnd"/>
            <w:r w:rsidRPr="003353A9">
              <w:rPr>
                <w:rFonts w:ascii="Book Antiqua" w:hAnsi="Book Antiqua"/>
              </w:rPr>
              <w:t>.</w:t>
            </w:r>
          </w:p>
        </w:tc>
      </w:tr>
      <w:tr w:rsidR="00747CB1" w:rsidRPr="003353A9" w14:paraId="191B566F" w14:textId="77777777" w:rsidTr="004F1ABE">
        <w:tc>
          <w:tcPr>
            <w:tcW w:w="4675" w:type="dxa"/>
          </w:tcPr>
          <w:p w14:paraId="0392CA11" w14:textId="77777777" w:rsidR="00747CB1" w:rsidRPr="003353A9" w:rsidRDefault="00747CB1" w:rsidP="004F1ABE">
            <w:pPr>
              <w:pStyle w:val="NoSpacing"/>
              <w:rPr>
                <w:rFonts w:ascii="Book Antiqua" w:hAnsi="Book Antiqua"/>
              </w:rPr>
            </w:pPr>
            <w:r w:rsidRPr="003353A9">
              <w:rPr>
                <w:rFonts w:ascii="Book Antiqua" w:hAnsi="Book Antiqua"/>
              </w:rPr>
              <w:t xml:space="preserve">Due care not to delegate substantial discretionary authority to individuals who the operating organization </w:t>
            </w:r>
            <w:proofErr w:type="gramStart"/>
            <w:r w:rsidRPr="003353A9">
              <w:rPr>
                <w:rFonts w:ascii="Book Antiqua" w:hAnsi="Book Antiqua"/>
              </w:rPr>
              <w:t>knew, or</w:t>
            </w:r>
            <w:proofErr w:type="gramEnd"/>
            <w:r w:rsidRPr="003353A9">
              <w:rPr>
                <w:rFonts w:ascii="Book Antiqua" w:hAnsi="Book Antiqua"/>
              </w:rPr>
              <w:t xml:space="preserve"> should have known through the exercise of due diligence, had a propensity to engage in criminal, civil, and administrative violations under the Social Security Act.</w:t>
            </w:r>
          </w:p>
        </w:tc>
        <w:tc>
          <w:tcPr>
            <w:tcW w:w="4675" w:type="dxa"/>
          </w:tcPr>
          <w:p w14:paraId="315EB390" w14:textId="77777777" w:rsidR="00747CB1" w:rsidRPr="003353A9" w:rsidRDefault="00747CB1" w:rsidP="004F1ABE">
            <w:pPr>
              <w:pStyle w:val="NoSpacing"/>
              <w:rPr>
                <w:rFonts w:ascii="Book Antiqua" w:hAnsi="Book Antiqua"/>
              </w:rPr>
            </w:pPr>
            <w:r w:rsidRPr="003353A9">
              <w:rPr>
                <w:rFonts w:ascii="Book Antiqua" w:hAnsi="Book Antiqua"/>
              </w:rPr>
              <w:t xml:space="preserve">Sanction Screening to identify entities or individuals who have violations is completed on a quarterly/monthly basis. All employees, vendors and contractors are screened against the OIG List of Excluded Entities, the System for Award Management (SAM) and the state Medicaid exclusions list. Volunteers with fiduciary responsibilities are also screened. The organization conducts an initial screening prior to hire by the organization. The compliance program completes subsequent screenings. </w:t>
            </w:r>
          </w:p>
        </w:tc>
      </w:tr>
      <w:tr w:rsidR="00747CB1" w:rsidRPr="003353A9" w14:paraId="6EA8B73F" w14:textId="77777777" w:rsidTr="004F1ABE">
        <w:tc>
          <w:tcPr>
            <w:tcW w:w="4675" w:type="dxa"/>
          </w:tcPr>
          <w:p w14:paraId="48CF9FDD" w14:textId="77777777" w:rsidR="00747CB1" w:rsidRPr="003353A9" w:rsidRDefault="00747CB1" w:rsidP="004F1ABE">
            <w:pPr>
              <w:pStyle w:val="NoSpacing"/>
              <w:rPr>
                <w:rFonts w:ascii="Book Antiqua" w:hAnsi="Book Antiqua"/>
              </w:rPr>
            </w:pPr>
            <w:r w:rsidRPr="003353A9">
              <w:rPr>
                <w:rFonts w:ascii="Book Antiqua" w:hAnsi="Book Antiqua"/>
              </w:rPr>
              <w:t>The facility takes steps to effectively communicate the standards, policies, and procedures in the operating organization’s compliance and ethics program to the operating organization's entire staff; individuals providing services under a contractual arrangement; and volunteers, consistent with the volunteers' expected roles. Requirements include, but are not limited to, mandatory participation in training or orientation programs, or disseminating information that explains in a practical manner what is required under the program.</w:t>
            </w:r>
          </w:p>
        </w:tc>
        <w:tc>
          <w:tcPr>
            <w:tcW w:w="4675" w:type="dxa"/>
          </w:tcPr>
          <w:p w14:paraId="6034BC52" w14:textId="77777777" w:rsidR="00747CB1" w:rsidRPr="003353A9" w:rsidRDefault="00747CB1" w:rsidP="004F1ABE">
            <w:pPr>
              <w:pStyle w:val="NoSpacing"/>
              <w:rPr>
                <w:rFonts w:ascii="Book Antiqua" w:hAnsi="Book Antiqua"/>
              </w:rPr>
            </w:pPr>
            <w:r w:rsidRPr="003353A9">
              <w:rPr>
                <w:rFonts w:ascii="Book Antiqua" w:hAnsi="Book Antiqua"/>
              </w:rPr>
              <w:t xml:space="preserve">Initial training on the Code of Conduct and the compliance program is provided to all new employees/team members on hire and annually thereafter. Vendors and contractors are made aware of the expectations to comply with the Code upon contracting with the organization and </w:t>
            </w:r>
            <w:proofErr w:type="gramStart"/>
            <w:r w:rsidRPr="003353A9">
              <w:rPr>
                <w:rFonts w:ascii="Book Antiqua" w:hAnsi="Book Antiqua"/>
              </w:rPr>
              <w:t>received</w:t>
            </w:r>
            <w:proofErr w:type="gramEnd"/>
            <w:r w:rsidRPr="003353A9">
              <w:rPr>
                <w:rFonts w:ascii="Book Antiqua" w:hAnsi="Book Antiqua"/>
              </w:rPr>
              <w:t xml:space="preserve"> an annual letter reminding them of that commitment. Volunteers receive initial training on compliance as it relates to their specific roles.</w:t>
            </w:r>
          </w:p>
          <w:p w14:paraId="62298A3A" w14:textId="77777777" w:rsidR="00747CB1" w:rsidRPr="003353A9" w:rsidRDefault="00747CB1" w:rsidP="004F1ABE">
            <w:pPr>
              <w:pStyle w:val="NoSpacing"/>
              <w:rPr>
                <w:rFonts w:ascii="Book Antiqua" w:hAnsi="Book Antiqua"/>
              </w:rPr>
            </w:pPr>
            <w:r w:rsidRPr="003353A9">
              <w:rPr>
                <w:rFonts w:ascii="Book Antiqua" w:hAnsi="Book Antiqua"/>
              </w:rPr>
              <w:t>The Code of Conduct is available on the website. A condensed version is available in a brochure for vendors, contractors and volunteers or others that may have an interest. Policies should be available to employees/team members for further program guidance.</w:t>
            </w:r>
          </w:p>
        </w:tc>
      </w:tr>
      <w:tr w:rsidR="00747CB1" w:rsidRPr="003353A9" w14:paraId="51EF50D7" w14:textId="77777777" w:rsidTr="004F1ABE">
        <w:tc>
          <w:tcPr>
            <w:tcW w:w="4675" w:type="dxa"/>
          </w:tcPr>
          <w:p w14:paraId="598AE678" w14:textId="77777777" w:rsidR="00747CB1" w:rsidRPr="003353A9" w:rsidRDefault="00747CB1" w:rsidP="004F1ABE">
            <w:pPr>
              <w:pStyle w:val="NoSpacing"/>
              <w:rPr>
                <w:rFonts w:ascii="Book Antiqua" w:hAnsi="Book Antiqua"/>
              </w:rPr>
            </w:pPr>
            <w:r w:rsidRPr="003353A9">
              <w:rPr>
                <w:rFonts w:ascii="Book Antiqua" w:hAnsi="Book Antiqua"/>
              </w:rPr>
              <w:lastRenderedPageBreak/>
              <w:t>The facility takes reasonable steps to achieve compliance with the program's standards, policies, and procedures. Such steps include, but are not limited to, utilizing monitoring and auditing systems reasonably designed to detect criminal, civil, and administrative violations under the Act by any of the operating organization's staff, individuals providing services under a contractual arrangement, or volunteers, having in place and publicizing a reporting system whereby any of these individuals could report violations by others anonymously within the operating organization without fear of retribution, and having a process for ensuring the integrity of any reported data.</w:t>
            </w:r>
          </w:p>
        </w:tc>
        <w:tc>
          <w:tcPr>
            <w:tcW w:w="4675" w:type="dxa"/>
          </w:tcPr>
          <w:p w14:paraId="40B869BA" w14:textId="77777777" w:rsidR="00747CB1" w:rsidRPr="003353A9" w:rsidRDefault="00747CB1" w:rsidP="004F1ABE">
            <w:pPr>
              <w:pStyle w:val="NoSpacing"/>
              <w:rPr>
                <w:rFonts w:ascii="Book Antiqua" w:hAnsi="Book Antiqua"/>
              </w:rPr>
            </w:pPr>
            <w:r w:rsidRPr="003353A9">
              <w:rPr>
                <w:rFonts w:ascii="Book Antiqua" w:hAnsi="Book Antiqua"/>
              </w:rPr>
              <w:t xml:space="preserve">At the beginning of each year, the Compliance Committee develops a work plan that outlines the compliance activities for the year. This includes auditing and monitoring of a range of risk areas throughout the organization. Areas that are generally audited </w:t>
            </w:r>
            <w:proofErr w:type="gramStart"/>
            <w:r w:rsidRPr="003353A9">
              <w:rPr>
                <w:rFonts w:ascii="Book Antiqua" w:hAnsi="Book Antiqua"/>
              </w:rPr>
              <w:t>include,</w:t>
            </w:r>
            <w:proofErr w:type="gramEnd"/>
            <w:r w:rsidRPr="003353A9">
              <w:rPr>
                <w:rFonts w:ascii="Book Antiqua" w:hAnsi="Book Antiqua"/>
              </w:rPr>
              <w:t xml:space="preserve"> Medicare Parts A and B, human resources</w:t>
            </w:r>
            <w:proofErr w:type="gramStart"/>
            <w:r w:rsidRPr="003353A9">
              <w:rPr>
                <w:rFonts w:ascii="Book Antiqua" w:hAnsi="Book Antiqua"/>
              </w:rPr>
              <w:t>, mock</w:t>
            </w:r>
            <w:proofErr w:type="gramEnd"/>
            <w:r w:rsidRPr="003353A9">
              <w:rPr>
                <w:rFonts w:ascii="Book Antiqua" w:hAnsi="Book Antiqua"/>
              </w:rPr>
              <w:t xml:space="preserve"> surveys for regulated areas. A copy of the work plan should be provided to the Board at least annually and with significant revisions.  Status reports on the Work Plan should be provided to the Board quarterly.</w:t>
            </w:r>
          </w:p>
          <w:p w14:paraId="7DBCE021" w14:textId="77777777" w:rsidR="00747CB1" w:rsidRPr="003353A9" w:rsidRDefault="00747CB1" w:rsidP="004F1ABE">
            <w:pPr>
              <w:pStyle w:val="NoSpacing"/>
              <w:rPr>
                <w:rFonts w:ascii="Book Antiqua" w:hAnsi="Book Antiqua"/>
              </w:rPr>
            </w:pPr>
            <w:r w:rsidRPr="003353A9">
              <w:rPr>
                <w:rFonts w:ascii="Book Antiqua" w:hAnsi="Book Antiqua"/>
              </w:rPr>
              <w:t xml:space="preserve">A hotline is in place which allows individuals to call anonymously to report compliance issues or concerns. The hotline is available 24/7 with a live counselor taking the information. The information is provided to the Compliance Officer and subsequently the Compliance Official for investigation. The results of the investigation are logged back into the system for the caller to obtain the results. </w:t>
            </w:r>
          </w:p>
        </w:tc>
      </w:tr>
      <w:tr w:rsidR="00747CB1" w:rsidRPr="003353A9" w14:paraId="255BE4CD" w14:textId="77777777" w:rsidTr="004F1ABE">
        <w:tc>
          <w:tcPr>
            <w:tcW w:w="4675" w:type="dxa"/>
          </w:tcPr>
          <w:p w14:paraId="64FD35E0" w14:textId="77777777" w:rsidR="00747CB1" w:rsidRPr="003353A9" w:rsidRDefault="00747CB1" w:rsidP="004F1ABE">
            <w:pPr>
              <w:pStyle w:val="NoSpacing"/>
              <w:rPr>
                <w:rFonts w:ascii="Book Antiqua" w:hAnsi="Book Antiqua"/>
              </w:rPr>
            </w:pPr>
            <w:r w:rsidRPr="003353A9">
              <w:rPr>
                <w:rFonts w:ascii="Book Antiqua" w:hAnsi="Book Antiqua"/>
              </w:rPr>
              <w:t>Consistent enforcement of the operating organization's standards, policies, and procedures through appropriate disciplinary mechanisms, including, as appropriate, discipline of individuals responsible for the failure to detect and report a violation to the compliance and ethics program contact identified in the operating organization's compliance and ethics program.</w:t>
            </w:r>
          </w:p>
        </w:tc>
        <w:tc>
          <w:tcPr>
            <w:tcW w:w="4675" w:type="dxa"/>
          </w:tcPr>
          <w:p w14:paraId="6108B02F" w14:textId="77777777" w:rsidR="00747CB1" w:rsidRPr="003353A9" w:rsidRDefault="00747CB1" w:rsidP="004F1ABE">
            <w:pPr>
              <w:pStyle w:val="NoSpacing"/>
              <w:rPr>
                <w:rFonts w:ascii="Book Antiqua" w:hAnsi="Book Antiqua"/>
              </w:rPr>
            </w:pPr>
            <w:r w:rsidRPr="003353A9">
              <w:rPr>
                <w:rFonts w:ascii="Book Antiqua" w:hAnsi="Book Antiqua"/>
              </w:rPr>
              <w:t xml:space="preserve">Enforcement policies are in place in addition to appropriate human resources policies. Violations of the Code of Conduct, or other compliance </w:t>
            </w:r>
            <w:proofErr w:type="gramStart"/>
            <w:r w:rsidRPr="003353A9">
              <w:rPr>
                <w:rFonts w:ascii="Book Antiqua" w:hAnsi="Book Antiqua"/>
              </w:rPr>
              <w:t>standards</w:t>
            </w:r>
            <w:proofErr w:type="gramEnd"/>
            <w:r w:rsidRPr="003353A9">
              <w:rPr>
                <w:rFonts w:ascii="Book Antiqua" w:hAnsi="Book Antiqua"/>
              </w:rPr>
              <w:t xml:space="preserve"> are communicated to the Compliance Officer. Systems are in place to </w:t>
            </w:r>
            <w:proofErr w:type="gramStart"/>
            <w:r w:rsidRPr="003353A9">
              <w:rPr>
                <w:rFonts w:ascii="Book Antiqua" w:hAnsi="Book Antiqua"/>
              </w:rPr>
              <w:t>assure</w:t>
            </w:r>
            <w:proofErr w:type="gramEnd"/>
            <w:r w:rsidRPr="003353A9">
              <w:rPr>
                <w:rFonts w:ascii="Book Antiqua" w:hAnsi="Book Antiqua"/>
              </w:rPr>
              <w:t xml:space="preserve"> communication channels are established with the CEO and Board.</w:t>
            </w:r>
          </w:p>
        </w:tc>
      </w:tr>
      <w:tr w:rsidR="00747CB1" w:rsidRPr="003353A9" w14:paraId="7F5F9F27" w14:textId="77777777" w:rsidTr="004F1ABE">
        <w:tc>
          <w:tcPr>
            <w:tcW w:w="4675" w:type="dxa"/>
          </w:tcPr>
          <w:p w14:paraId="51654B43" w14:textId="77777777" w:rsidR="00747CB1" w:rsidRPr="003353A9" w:rsidRDefault="00747CB1" w:rsidP="004F1ABE">
            <w:pPr>
              <w:pStyle w:val="NoSpacing"/>
              <w:rPr>
                <w:rFonts w:ascii="Book Antiqua" w:hAnsi="Book Antiqua"/>
              </w:rPr>
            </w:pPr>
            <w:r w:rsidRPr="003353A9">
              <w:rPr>
                <w:rFonts w:ascii="Book Antiqua" w:hAnsi="Book Antiqua"/>
              </w:rPr>
              <w:t>After a violation is detected, the operating organization must ensure that all reasonable steps identified in its program are taken to respond appropriately to the violation and to prevent further similar violations, including any necessary modification to the</w:t>
            </w:r>
            <w:r w:rsidR="006D4E4E" w:rsidRPr="003353A9">
              <w:rPr>
                <w:rFonts w:ascii="Book Antiqua" w:hAnsi="Book Antiqua"/>
              </w:rPr>
              <w:t xml:space="preserve"> </w:t>
            </w:r>
            <w:r w:rsidRPr="003353A9">
              <w:rPr>
                <w:rFonts w:ascii="Book Antiqua" w:hAnsi="Book Antiqua"/>
              </w:rPr>
              <w:t>operating organization's program to prevent and detect criminal, civil, and administrative violations under the Act.</w:t>
            </w:r>
          </w:p>
        </w:tc>
        <w:tc>
          <w:tcPr>
            <w:tcW w:w="4675" w:type="dxa"/>
          </w:tcPr>
          <w:p w14:paraId="36052B6C" w14:textId="77777777" w:rsidR="00747CB1" w:rsidRPr="003353A9" w:rsidRDefault="00747CB1" w:rsidP="004F1ABE">
            <w:pPr>
              <w:pStyle w:val="NoSpacing"/>
              <w:rPr>
                <w:rFonts w:ascii="Book Antiqua" w:hAnsi="Book Antiqua"/>
              </w:rPr>
            </w:pPr>
            <w:r w:rsidRPr="003353A9">
              <w:rPr>
                <w:rFonts w:ascii="Book Antiqua" w:hAnsi="Book Antiqua"/>
              </w:rPr>
              <w:t>Reporting of violations, and the subsequent investigations are addressed based upon the policies and procedures of the organization. Through the compliance committee, actions are taken to mitigate further occurrences. If violations require reporting to state or federal agencies this is completed in timely manner.  Program violations are reported to the Compliance Officer and the Board for monitoring purposes.</w:t>
            </w:r>
          </w:p>
        </w:tc>
      </w:tr>
      <w:tr w:rsidR="00747CB1" w:rsidRPr="003353A9" w14:paraId="740B78BF" w14:textId="77777777" w:rsidTr="004F1ABE">
        <w:tc>
          <w:tcPr>
            <w:tcW w:w="4675" w:type="dxa"/>
          </w:tcPr>
          <w:p w14:paraId="1269A1F8" w14:textId="77777777" w:rsidR="00747CB1" w:rsidRPr="003353A9" w:rsidRDefault="00747CB1" w:rsidP="004F1ABE">
            <w:pPr>
              <w:pStyle w:val="NoSpacing"/>
              <w:rPr>
                <w:rFonts w:ascii="Book Antiqua" w:hAnsi="Book Antiqua"/>
              </w:rPr>
            </w:pPr>
            <w:r w:rsidRPr="003353A9">
              <w:rPr>
                <w:rFonts w:ascii="Book Antiqua" w:hAnsi="Book Antiqua"/>
              </w:rPr>
              <w:t>Annual review.</w:t>
            </w:r>
          </w:p>
          <w:p w14:paraId="797751E0" w14:textId="77777777" w:rsidR="00747CB1" w:rsidRPr="003353A9" w:rsidRDefault="00747CB1" w:rsidP="004F1ABE">
            <w:pPr>
              <w:pStyle w:val="NoSpacing"/>
              <w:rPr>
                <w:rFonts w:ascii="Book Antiqua" w:hAnsi="Book Antiqua"/>
              </w:rPr>
            </w:pPr>
            <w:r w:rsidRPr="003353A9">
              <w:rPr>
                <w:rFonts w:ascii="Book Antiqua" w:hAnsi="Book Antiqua"/>
              </w:rPr>
              <w:t xml:space="preserve">The operating organization for each facility must review its compliance and ethics program annually and revise its program as needed to reflect changes in all applicable </w:t>
            </w:r>
            <w:r w:rsidRPr="003353A9">
              <w:rPr>
                <w:rFonts w:ascii="Book Antiqua" w:hAnsi="Book Antiqua"/>
              </w:rPr>
              <w:lastRenderedPageBreak/>
              <w:t>laws or regulations and within the operating organization and its facilities to improve its performance in deterring, reducing, and detecting violations under the Act and in promoting quality of care.</w:t>
            </w:r>
          </w:p>
          <w:p w14:paraId="718CF3B6" w14:textId="77777777" w:rsidR="00747CB1" w:rsidRPr="003353A9" w:rsidRDefault="00747CB1" w:rsidP="004F1ABE">
            <w:pPr>
              <w:pStyle w:val="NoSpacing"/>
              <w:rPr>
                <w:rFonts w:ascii="Book Antiqua" w:hAnsi="Book Antiqua"/>
              </w:rPr>
            </w:pPr>
          </w:p>
        </w:tc>
        <w:tc>
          <w:tcPr>
            <w:tcW w:w="4675" w:type="dxa"/>
          </w:tcPr>
          <w:p w14:paraId="476E7857" w14:textId="3125CA69" w:rsidR="00747CB1" w:rsidRPr="003353A9" w:rsidRDefault="00747CB1" w:rsidP="004F1ABE">
            <w:pPr>
              <w:pStyle w:val="NoSpacing"/>
              <w:rPr>
                <w:rFonts w:ascii="Book Antiqua" w:hAnsi="Book Antiqua"/>
              </w:rPr>
            </w:pPr>
            <w:r w:rsidRPr="003353A9">
              <w:rPr>
                <w:rFonts w:ascii="Book Antiqua" w:hAnsi="Book Antiqua"/>
              </w:rPr>
              <w:lastRenderedPageBreak/>
              <w:t xml:space="preserve">The compliance program is reviewed on an annual basis, either through a review by the </w:t>
            </w:r>
            <w:r w:rsidR="00B30665">
              <w:rPr>
                <w:rFonts w:ascii="Book Antiqua" w:hAnsi="Book Antiqua"/>
              </w:rPr>
              <w:t>AQORD</w:t>
            </w:r>
            <w:r w:rsidRPr="003353A9">
              <w:rPr>
                <w:rFonts w:ascii="Book Antiqua" w:hAnsi="Book Antiqua"/>
              </w:rPr>
              <w:t xml:space="preserve"> Compliance team or internally by the compliance committee. Best practice recommendation is for an external </w:t>
            </w:r>
            <w:r w:rsidR="00B30665">
              <w:rPr>
                <w:rFonts w:ascii="Book Antiqua" w:hAnsi="Book Antiqua"/>
              </w:rPr>
              <w:t>AQORD</w:t>
            </w:r>
            <w:r w:rsidRPr="003353A9">
              <w:rPr>
                <w:rFonts w:ascii="Book Antiqua" w:hAnsi="Book Antiqua"/>
              </w:rPr>
              <w:t xml:space="preserve"> </w:t>
            </w:r>
            <w:r w:rsidRPr="003353A9">
              <w:rPr>
                <w:rFonts w:ascii="Book Antiqua" w:hAnsi="Book Antiqua"/>
              </w:rPr>
              <w:lastRenderedPageBreak/>
              <w:t xml:space="preserve">Compliance review at least every other calendar year.  A scored compliance tool is </w:t>
            </w:r>
            <w:proofErr w:type="gramStart"/>
            <w:r w:rsidRPr="003353A9">
              <w:rPr>
                <w:rFonts w:ascii="Book Antiqua" w:hAnsi="Book Antiqua"/>
              </w:rPr>
              <w:t>utilized</w:t>
            </w:r>
            <w:proofErr w:type="gramEnd"/>
            <w:r w:rsidRPr="003353A9">
              <w:rPr>
                <w:rFonts w:ascii="Book Antiqua" w:hAnsi="Book Antiqua"/>
              </w:rPr>
              <w:t xml:space="preserve"> and compliance </w:t>
            </w:r>
            <w:r w:rsidR="00022BAD" w:rsidRPr="003353A9">
              <w:rPr>
                <w:rFonts w:ascii="Book Antiqua" w:hAnsi="Book Antiqua"/>
              </w:rPr>
              <w:t>collaborative</w:t>
            </w:r>
            <w:r w:rsidRPr="003353A9">
              <w:rPr>
                <w:rFonts w:ascii="Book Antiqua" w:hAnsi="Book Antiqua"/>
              </w:rPr>
              <w:t xml:space="preserve"> members are benchmarked with one another.</w:t>
            </w:r>
          </w:p>
        </w:tc>
      </w:tr>
    </w:tbl>
    <w:p w14:paraId="77241ABD" w14:textId="77777777" w:rsidR="00747CB1" w:rsidRPr="003353A9" w:rsidRDefault="00747CB1" w:rsidP="00747CB1">
      <w:pPr>
        <w:rPr>
          <w:rFonts w:ascii="Book Antiqua" w:hAnsi="Book Antiqua"/>
        </w:rPr>
      </w:pPr>
    </w:p>
    <w:p w14:paraId="3F22BF78" w14:textId="77777777" w:rsidR="008048AC" w:rsidRPr="003353A9" w:rsidRDefault="008048AC" w:rsidP="00747CB1">
      <w:pPr>
        <w:rPr>
          <w:rFonts w:ascii="Book Antiqua" w:hAnsi="Book Antiqua"/>
        </w:rPr>
      </w:pPr>
    </w:p>
    <w:sectPr w:rsidR="008048AC" w:rsidRPr="003353A9" w:rsidSect="00BF447D">
      <w:headerReference w:type="default" r:id="rId9"/>
      <w:footerReference w:type="default" r:id="rId10"/>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5ED3" w14:textId="77777777" w:rsidR="00124997" w:rsidRDefault="00124997" w:rsidP="00BF447D">
      <w:pPr>
        <w:spacing w:after="0" w:line="240" w:lineRule="auto"/>
      </w:pPr>
      <w:r>
        <w:separator/>
      </w:r>
    </w:p>
  </w:endnote>
  <w:endnote w:type="continuationSeparator" w:id="0">
    <w:p w14:paraId="3670460C" w14:textId="77777777" w:rsidR="00124997" w:rsidRDefault="00124997" w:rsidP="00BF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utura">
    <w:altName w:val="Century Gothic"/>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DAF9" w14:textId="77777777" w:rsidR="00262EB8" w:rsidRPr="003353A9" w:rsidRDefault="005E64EC">
    <w:pPr>
      <w:pStyle w:val="Footer"/>
      <w:jc w:val="center"/>
      <w:rPr>
        <w:rFonts w:ascii="Book Antiqua" w:hAnsi="Book Antiqua" w:cs="Futura"/>
        <w:sz w:val="20"/>
        <w:szCs w:val="20"/>
      </w:rPr>
    </w:pPr>
    <w:r w:rsidRPr="003353A9">
      <w:rPr>
        <w:rFonts w:ascii="Book Antiqua" w:hAnsi="Book Antiqua" w:cs="Futura"/>
        <w:sz w:val="20"/>
        <w:szCs w:val="20"/>
      </w:rPr>
      <w:t xml:space="preserve">Page </w:t>
    </w:r>
    <w:sdt>
      <w:sdtPr>
        <w:rPr>
          <w:rFonts w:ascii="Book Antiqua" w:hAnsi="Book Antiqua" w:cs="Futura"/>
          <w:sz w:val="20"/>
          <w:szCs w:val="20"/>
        </w:rPr>
        <w:id w:val="1552888864"/>
        <w:docPartObj>
          <w:docPartGallery w:val="Page Numbers (Bottom of Page)"/>
          <w:docPartUnique/>
        </w:docPartObj>
      </w:sdtPr>
      <w:sdtEndPr>
        <w:rPr>
          <w:noProof/>
        </w:rPr>
      </w:sdtEndPr>
      <w:sdtContent>
        <w:r w:rsidR="00262EB8" w:rsidRPr="003353A9">
          <w:rPr>
            <w:rFonts w:ascii="Book Antiqua" w:hAnsi="Book Antiqua" w:cs="Futura"/>
            <w:sz w:val="20"/>
            <w:szCs w:val="20"/>
          </w:rPr>
          <w:fldChar w:fldCharType="begin"/>
        </w:r>
        <w:r w:rsidR="00262EB8" w:rsidRPr="003353A9">
          <w:rPr>
            <w:rFonts w:ascii="Book Antiqua" w:hAnsi="Book Antiqua" w:cs="Futura"/>
            <w:sz w:val="20"/>
            <w:szCs w:val="20"/>
          </w:rPr>
          <w:instrText xml:space="preserve"> PAGE   \* MERGEFORMAT </w:instrText>
        </w:r>
        <w:r w:rsidR="00262EB8" w:rsidRPr="003353A9">
          <w:rPr>
            <w:rFonts w:ascii="Book Antiqua" w:hAnsi="Book Antiqua" w:cs="Futura"/>
            <w:sz w:val="20"/>
            <w:szCs w:val="20"/>
          </w:rPr>
          <w:fldChar w:fldCharType="separate"/>
        </w:r>
        <w:r w:rsidR="006C663B" w:rsidRPr="003353A9">
          <w:rPr>
            <w:rFonts w:ascii="Book Antiqua" w:hAnsi="Book Antiqua" w:cs="Futura"/>
            <w:noProof/>
            <w:sz w:val="20"/>
            <w:szCs w:val="20"/>
          </w:rPr>
          <w:t>2</w:t>
        </w:r>
        <w:r w:rsidR="00262EB8" w:rsidRPr="003353A9">
          <w:rPr>
            <w:rFonts w:ascii="Book Antiqua" w:hAnsi="Book Antiqua" w:cs="Futura"/>
            <w:noProof/>
            <w:sz w:val="20"/>
            <w:szCs w:val="20"/>
          </w:rPr>
          <w:fldChar w:fldCharType="end"/>
        </w:r>
        <w:r w:rsidRPr="003353A9">
          <w:rPr>
            <w:rFonts w:ascii="Book Antiqua" w:hAnsi="Book Antiqua" w:cs="Futura"/>
            <w:noProof/>
            <w:sz w:val="20"/>
            <w:szCs w:val="20"/>
          </w:rPr>
          <w:t xml:space="preserve"> of 6</w:t>
        </w:r>
      </w:sdtContent>
    </w:sdt>
  </w:p>
  <w:p w14:paraId="091F6BA9" w14:textId="2C8AA474" w:rsidR="00BF447D" w:rsidRPr="003353A9" w:rsidRDefault="003353A9">
    <w:pPr>
      <w:pStyle w:val="Footer"/>
      <w:rPr>
        <w:rFonts w:ascii="Book Antiqua" w:hAnsi="Book Antiqua"/>
        <w:sz w:val="20"/>
        <w:szCs w:val="20"/>
      </w:rPr>
    </w:pPr>
    <w:r w:rsidRPr="003353A9">
      <w:rPr>
        <w:rFonts w:ascii="Book Antiqua" w:hAnsi="Book Antiqua" w:cstheme="minorHAnsi"/>
        <w:sz w:val="20"/>
        <w:szCs w:val="20"/>
      </w:rPr>
      <w:t>©</w:t>
    </w:r>
    <w:r w:rsidRPr="003353A9">
      <w:rPr>
        <w:rFonts w:ascii="Book Antiqua" w:hAnsi="Book Antiqua"/>
        <w:sz w:val="20"/>
        <w:szCs w:val="20"/>
      </w:rPr>
      <w:t xml:space="preserve"> AQORD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E1BF" w14:textId="77777777" w:rsidR="00124997" w:rsidRDefault="00124997" w:rsidP="00BF447D">
      <w:pPr>
        <w:spacing w:after="0" w:line="240" w:lineRule="auto"/>
      </w:pPr>
      <w:r>
        <w:separator/>
      </w:r>
    </w:p>
  </w:footnote>
  <w:footnote w:type="continuationSeparator" w:id="0">
    <w:p w14:paraId="1C65C9BA" w14:textId="77777777" w:rsidR="00124997" w:rsidRDefault="00124997" w:rsidP="00BF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E416" w14:textId="0C7540B8" w:rsidR="00262EB8" w:rsidRDefault="003353A9">
    <w:pPr>
      <w:pStyle w:val="Header"/>
    </w:pPr>
    <w:r>
      <w:rPr>
        <w:noProof/>
      </w:rPr>
      <w:drawing>
        <wp:anchor distT="0" distB="0" distL="114300" distR="114300" simplePos="0" relativeHeight="251658240" behindDoc="1" locked="0" layoutInCell="1" allowOverlap="1" wp14:anchorId="09409A2E" wp14:editId="6823FEB0">
          <wp:simplePos x="0" y="0"/>
          <wp:positionH relativeFrom="column">
            <wp:posOffset>4255770</wp:posOffset>
          </wp:positionH>
          <wp:positionV relativeFrom="paragraph">
            <wp:posOffset>-584200</wp:posOffset>
          </wp:positionV>
          <wp:extent cx="2901245" cy="1631950"/>
          <wp:effectExtent l="0" t="0" r="0" b="0"/>
          <wp:wrapNone/>
          <wp:docPr id="82446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66722" name="Picture 824466722"/>
                  <pic:cNvPicPr/>
                </pic:nvPicPr>
                <pic:blipFill>
                  <a:blip r:embed="rId1">
                    <a:extLst>
                      <a:ext uri="{28A0092B-C50C-407E-A947-70E740481C1C}">
                        <a14:useLocalDpi xmlns:a14="http://schemas.microsoft.com/office/drawing/2010/main" val="0"/>
                      </a:ext>
                    </a:extLst>
                  </a:blip>
                  <a:stretch>
                    <a:fillRect/>
                  </a:stretch>
                </pic:blipFill>
                <pic:spPr>
                  <a:xfrm>
                    <a:off x="0" y="0"/>
                    <a:ext cx="2901245" cy="1631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6BE1"/>
    <w:multiLevelType w:val="hybridMultilevel"/>
    <w:tmpl w:val="CCCC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DD32CD"/>
    <w:multiLevelType w:val="hybridMultilevel"/>
    <w:tmpl w:val="24F64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30EF8"/>
    <w:multiLevelType w:val="hybridMultilevel"/>
    <w:tmpl w:val="9B5A76DE"/>
    <w:lvl w:ilvl="0" w:tplc="88DABBAA">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3C7348"/>
    <w:multiLevelType w:val="hybridMultilevel"/>
    <w:tmpl w:val="E0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7739"/>
    <w:multiLevelType w:val="hybridMultilevel"/>
    <w:tmpl w:val="1D9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633B2"/>
    <w:multiLevelType w:val="hybridMultilevel"/>
    <w:tmpl w:val="D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4019E"/>
    <w:multiLevelType w:val="hybridMultilevel"/>
    <w:tmpl w:val="9330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439368">
    <w:abstractNumId w:val="5"/>
  </w:num>
  <w:num w:numId="2" w16cid:durableId="462232679">
    <w:abstractNumId w:val="4"/>
  </w:num>
  <w:num w:numId="3" w16cid:durableId="311105402">
    <w:abstractNumId w:val="3"/>
  </w:num>
  <w:num w:numId="4" w16cid:durableId="1017341602">
    <w:abstractNumId w:val="1"/>
  </w:num>
  <w:num w:numId="5" w16cid:durableId="1896620482">
    <w:abstractNumId w:val="0"/>
  </w:num>
  <w:num w:numId="6" w16cid:durableId="476649669">
    <w:abstractNumId w:val="2"/>
    <w:lvlOverride w:ilvl="0">
      <w:startOverride w:val="1"/>
    </w:lvlOverride>
    <w:lvlOverride w:ilvl="1"/>
    <w:lvlOverride w:ilvl="2"/>
    <w:lvlOverride w:ilvl="3"/>
    <w:lvlOverride w:ilvl="4"/>
    <w:lvlOverride w:ilvl="5"/>
    <w:lvlOverride w:ilvl="6"/>
    <w:lvlOverride w:ilvl="7"/>
    <w:lvlOverride w:ilvl="8"/>
  </w:num>
  <w:num w:numId="7" w16cid:durableId="17781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4D"/>
    <w:rsid w:val="000047E4"/>
    <w:rsid w:val="00015996"/>
    <w:rsid w:val="00022BAD"/>
    <w:rsid w:val="00047BC2"/>
    <w:rsid w:val="00081645"/>
    <w:rsid w:val="000A4E33"/>
    <w:rsid w:val="001116F7"/>
    <w:rsid w:val="00124997"/>
    <w:rsid w:val="001474B9"/>
    <w:rsid w:val="00262EB8"/>
    <w:rsid w:val="00295DD9"/>
    <w:rsid w:val="002B4E19"/>
    <w:rsid w:val="003353A9"/>
    <w:rsid w:val="00396B57"/>
    <w:rsid w:val="003F0ADD"/>
    <w:rsid w:val="00481D1B"/>
    <w:rsid w:val="0051582D"/>
    <w:rsid w:val="005E64EC"/>
    <w:rsid w:val="00640235"/>
    <w:rsid w:val="006C663B"/>
    <w:rsid w:val="006D4E4E"/>
    <w:rsid w:val="006F1DF2"/>
    <w:rsid w:val="00710585"/>
    <w:rsid w:val="00734530"/>
    <w:rsid w:val="00747CB1"/>
    <w:rsid w:val="00762C8D"/>
    <w:rsid w:val="007E6932"/>
    <w:rsid w:val="008048AC"/>
    <w:rsid w:val="00830CC3"/>
    <w:rsid w:val="0085482E"/>
    <w:rsid w:val="008A29C9"/>
    <w:rsid w:val="008E6829"/>
    <w:rsid w:val="00964E92"/>
    <w:rsid w:val="00993181"/>
    <w:rsid w:val="009E1960"/>
    <w:rsid w:val="00A07CFA"/>
    <w:rsid w:val="00A2501B"/>
    <w:rsid w:val="00A33A96"/>
    <w:rsid w:val="00A36499"/>
    <w:rsid w:val="00A55602"/>
    <w:rsid w:val="00AC3EC4"/>
    <w:rsid w:val="00B30665"/>
    <w:rsid w:val="00BF447D"/>
    <w:rsid w:val="00C531ED"/>
    <w:rsid w:val="00C54C44"/>
    <w:rsid w:val="00C5679D"/>
    <w:rsid w:val="00CA491F"/>
    <w:rsid w:val="00CC4031"/>
    <w:rsid w:val="00D24416"/>
    <w:rsid w:val="00DD36DA"/>
    <w:rsid w:val="00E33BA8"/>
    <w:rsid w:val="00E947FF"/>
    <w:rsid w:val="00F7024D"/>
    <w:rsid w:val="00F77A04"/>
    <w:rsid w:val="00FF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AAB55"/>
  <w15:docId w15:val="{C1E81392-6583-4C90-8C4F-1FE2F66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8D"/>
    <w:pPr>
      <w:ind w:left="720"/>
      <w:contextualSpacing/>
    </w:pPr>
  </w:style>
  <w:style w:type="paragraph" w:styleId="Header">
    <w:name w:val="header"/>
    <w:basedOn w:val="Normal"/>
    <w:link w:val="HeaderChar"/>
    <w:uiPriority w:val="99"/>
    <w:unhideWhenUsed/>
    <w:rsid w:val="00BF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7D"/>
  </w:style>
  <w:style w:type="paragraph" w:styleId="Footer">
    <w:name w:val="footer"/>
    <w:basedOn w:val="Normal"/>
    <w:link w:val="FooterChar"/>
    <w:uiPriority w:val="99"/>
    <w:unhideWhenUsed/>
    <w:rsid w:val="00BF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7D"/>
  </w:style>
  <w:style w:type="paragraph" w:styleId="BalloonText">
    <w:name w:val="Balloon Text"/>
    <w:basedOn w:val="Normal"/>
    <w:link w:val="BalloonTextChar"/>
    <w:uiPriority w:val="99"/>
    <w:semiHidden/>
    <w:unhideWhenUsed/>
    <w:rsid w:val="00BF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7D"/>
    <w:rPr>
      <w:rFonts w:ascii="Tahoma" w:hAnsi="Tahoma" w:cs="Tahoma"/>
      <w:sz w:val="16"/>
      <w:szCs w:val="16"/>
    </w:rPr>
  </w:style>
  <w:style w:type="paragraph" w:styleId="NoSpacing">
    <w:name w:val="No Spacing"/>
    <w:uiPriority w:val="99"/>
    <w:qFormat/>
    <w:rsid w:val="00734530"/>
    <w:pPr>
      <w:spacing w:after="0" w:line="240" w:lineRule="auto"/>
    </w:pPr>
  </w:style>
  <w:style w:type="table" w:styleId="TableGrid">
    <w:name w:val="Table Grid"/>
    <w:basedOn w:val="TableNormal"/>
    <w:uiPriority w:val="39"/>
    <w:rsid w:val="0074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28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02">
          <w:marLeft w:val="0"/>
          <w:marRight w:val="0"/>
          <w:marTop w:val="0"/>
          <w:marBottom w:val="0"/>
          <w:divBdr>
            <w:top w:val="none" w:sz="0" w:space="0" w:color="auto"/>
            <w:left w:val="none" w:sz="0" w:space="0" w:color="auto"/>
            <w:bottom w:val="none" w:sz="0" w:space="0" w:color="auto"/>
            <w:right w:val="none" w:sz="0" w:space="0" w:color="auto"/>
          </w:divBdr>
        </w:div>
        <w:div w:id="1431701974">
          <w:marLeft w:val="0"/>
          <w:marRight w:val="0"/>
          <w:marTop w:val="0"/>
          <w:marBottom w:val="0"/>
          <w:divBdr>
            <w:top w:val="none" w:sz="0" w:space="0" w:color="auto"/>
            <w:left w:val="none" w:sz="0" w:space="0" w:color="auto"/>
            <w:bottom w:val="none" w:sz="0" w:space="0" w:color="auto"/>
            <w:right w:val="none" w:sz="0" w:space="0" w:color="auto"/>
          </w:divBdr>
        </w:div>
        <w:div w:id="1543636173">
          <w:marLeft w:val="0"/>
          <w:marRight w:val="0"/>
          <w:marTop w:val="0"/>
          <w:marBottom w:val="0"/>
          <w:divBdr>
            <w:top w:val="none" w:sz="0" w:space="0" w:color="auto"/>
            <w:left w:val="none" w:sz="0" w:space="0" w:color="auto"/>
            <w:bottom w:val="none" w:sz="0" w:space="0" w:color="auto"/>
            <w:right w:val="none" w:sz="0" w:space="0" w:color="auto"/>
          </w:divBdr>
        </w:div>
        <w:div w:id="819076098">
          <w:marLeft w:val="0"/>
          <w:marRight w:val="0"/>
          <w:marTop w:val="0"/>
          <w:marBottom w:val="0"/>
          <w:divBdr>
            <w:top w:val="none" w:sz="0" w:space="0" w:color="auto"/>
            <w:left w:val="none" w:sz="0" w:space="0" w:color="auto"/>
            <w:bottom w:val="none" w:sz="0" w:space="0" w:color="auto"/>
            <w:right w:val="none" w:sz="0" w:space="0" w:color="auto"/>
          </w:divBdr>
        </w:div>
        <w:div w:id="243531843">
          <w:marLeft w:val="0"/>
          <w:marRight w:val="0"/>
          <w:marTop w:val="0"/>
          <w:marBottom w:val="0"/>
          <w:divBdr>
            <w:top w:val="none" w:sz="0" w:space="0" w:color="auto"/>
            <w:left w:val="none" w:sz="0" w:space="0" w:color="auto"/>
            <w:bottom w:val="none" w:sz="0" w:space="0" w:color="auto"/>
            <w:right w:val="none" w:sz="0" w:space="0" w:color="auto"/>
          </w:divBdr>
        </w:div>
        <w:div w:id="515967591">
          <w:marLeft w:val="0"/>
          <w:marRight w:val="0"/>
          <w:marTop w:val="0"/>
          <w:marBottom w:val="0"/>
          <w:divBdr>
            <w:top w:val="none" w:sz="0" w:space="0" w:color="auto"/>
            <w:left w:val="none" w:sz="0" w:space="0" w:color="auto"/>
            <w:bottom w:val="none" w:sz="0" w:space="0" w:color="auto"/>
            <w:right w:val="none" w:sz="0" w:space="0" w:color="auto"/>
          </w:divBdr>
        </w:div>
        <w:div w:id="191651729">
          <w:marLeft w:val="0"/>
          <w:marRight w:val="0"/>
          <w:marTop w:val="0"/>
          <w:marBottom w:val="0"/>
          <w:divBdr>
            <w:top w:val="none" w:sz="0" w:space="0" w:color="auto"/>
            <w:left w:val="none" w:sz="0" w:space="0" w:color="auto"/>
            <w:bottom w:val="none" w:sz="0" w:space="0" w:color="auto"/>
            <w:right w:val="none" w:sz="0" w:space="0" w:color="auto"/>
          </w:divBdr>
        </w:div>
        <w:div w:id="1910536415">
          <w:marLeft w:val="0"/>
          <w:marRight w:val="0"/>
          <w:marTop w:val="0"/>
          <w:marBottom w:val="0"/>
          <w:divBdr>
            <w:top w:val="none" w:sz="0" w:space="0" w:color="auto"/>
            <w:left w:val="none" w:sz="0" w:space="0" w:color="auto"/>
            <w:bottom w:val="none" w:sz="0" w:space="0" w:color="auto"/>
            <w:right w:val="none" w:sz="0" w:space="0" w:color="auto"/>
          </w:divBdr>
        </w:div>
        <w:div w:id="939066984">
          <w:marLeft w:val="0"/>
          <w:marRight w:val="0"/>
          <w:marTop w:val="0"/>
          <w:marBottom w:val="0"/>
          <w:divBdr>
            <w:top w:val="none" w:sz="0" w:space="0" w:color="auto"/>
            <w:left w:val="none" w:sz="0" w:space="0" w:color="auto"/>
            <w:bottom w:val="none" w:sz="0" w:space="0" w:color="auto"/>
            <w:right w:val="none" w:sz="0" w:space="0" w:color="auto"/>
          </w:divBdr>
        </w:div>
        <w:div w:id="1044713251">
          <w:marLeft w:val="0"/>
          <w:marRight w:val="0"/>
          <w:marTop w:val="0"/>
          <w:marBottom w:val="0"/>
          <w:divBdr>
            <w:top w:val="none" w:sz="0" w:space="0" w:color="auto"/>
            <w:left w:val="none" w:sz="0" w:space="0" w:color="auto"/>
            <w:bottom w:val="none" w:sz="0" w:space="0" w:color="auto"/>
            <w:right w:val="none" w:sz="0" w:space="0" w:color="auto"/>
          </w:divBdr>
        </w:div>
        <w:div w:id="1351682126">
          <w:marLeft w:val="0"/>
          <w:marRight w:val="0"/>
          <w:marTop w:val="0"/>
          <w:marBottom w:val="0"/>
          <w:divBdr>
            <w:top w:val="none" w:sz="0" w:space="0" w:color="auto"/>
            <w:left w:val="none" w:sz="0" w:space="0" w:color="auto"/>
            <w:bottom w:val="none" w:sz="0" w:space="0" w:color="auto"/>
            <w:right w:val="none" w:sz="0" w:space="0" w:color="auto"/>
          </w:divBdr>
        </w:div>
        <w:div w:id="887062170">
          <w:marLeft w:val="0"/>
          <w:marRight w:val="0"/>
          <w:marTop w:val="0"/>
          <w:marBottom w:val="0"/>
          <w:divBdr>
            <w:top w:val="none" w:sz="0" w:space="0" w:color="auto"/>
            <w:left w:val="none" w:sz="0" w:space="0" w:color="auto"/>
            <w:bottom w:val="none" w:sz="0" w:space="0" w:color="auto"/>
            <w:right w:val="none" w:sz="0" w:space="0" w:color="auto"/>
          </w:divBdr>
        </w:div>
        <w:div w:id="417411023">
          <w:marLeft w:val="0"/>
          <w:marRight w:val="0"/>
          <w:marTop w:val="0"/>
          <w:marBottom w:val="0"/>
          <w:divBdr>
            <w:top w:val="none" w:sz="0" w:space="0" w:color="auto"/>
            <w:left w:val="none" w:sz="0" w:space="0" w:color="auto"/>
            <w:bottom w:val="none" w:sz="0" w:space="0" w:color="auto"/>
            <w:right w:val="none" w:sz="0" w:space="0" w:color="auto"/>
          </w:divBdr>
        </w:div>
        <w:div w:id="750004574">
          <w:marLeft w:val="0"/>
          <w:marRight w:val="0"/>
          <w:marTop w:val="0"/>
          <w:marBottom w:val="0"/>
          <w:divBdr>
            <w:top w:val="none" w:sz="0" w:space="0" w:color="auto"/>
            <w:left w:val="none" w:sz="0" w:space="0" w:color="auto"/>
            <w:bottom w:val="none" w:sz="0" w:space="0" w:color="auto"/>
            <w:right w:val="none" w:sz="0" w:space="0" w:color="auto"/>
          </w:divBdr>
        </w:div>
      </w:divsChild>
    </w:div>
    <w:div w:id="467281196">
      <w:bodyDiv w:val="1"/>
      <w:marLeft w:val="0"/>
      <w:marRight w:val="0"/>
      <w:marTop w:val="0"/>
      <w:marBottom w:val="0"/>
      <w:divBdr>
        <w:top w:val="none" w:sz="0" w:space="0" w:color="auto"/>
        <w:left w:val="none" w:sz="0" w:space="0" w:color="auto"/>
        <w:bottom w:val="none" w:sz="0" w:space="0" w:color="auto"/>
        <w:right w:val="none" w:sz="0" w:space="0" w:color="auto"/>
      </w:divBdr>
    </w:div>
    <w:div w:id="12031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67576c-7523-42bb-8f0c-69c7f63c2dac">
      <Terms xmlns="http://schemas.microsoft.com/office/infopath/2007/PartnerControls"/>
    </lcf76f155ced4ddcb4097134ff3c332f>
    <TaxCatchAll xmlns="044759fe-3326-4f84-acc4-6ac823f269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66C239-F097-4030-8D67-4D34D7578FC8}">
  <ds:schemaRefs>
    <ds:schemaRef ds:uri="http://schemas.microsoft.com/sharepoint/v3/contenttype/forms"/>
  </ds:schemaRefs>
</ds:datastoreItem>
</file>

<file path=customXml/itemProps2.xml><?xml version="1.0" encoding="utf-8"?>
<ds:datastoreItem xmlns:ds="http://schemas.openxmlformats.org/officeDocument/2006/customXml" ds:itemID="{3F5C77C4-3BF0-4EB4-81D5-43644A6F9059}"/>
</file>

<file path=customXml/itemProps3.xml><?xml version="1.0" encoding="utf-8"?>
<ds:datastoreItem xmlns:ds="http://schemas.openxmlformats.org/officeDocument/2006/customXml" ds:itemID="{D3F78C94-A2E1-489F-867F-A6306AEF332D}"/>
</file>

<file path=docProps/app.xml><?xml version="1.0" encoding="utf-8"?>
<Properties xmlns="http://schemas.openxmlformats.org/officeDocument/2006/extended-properties" xmlns:vt="http://schemas.openxmlformats.org/officeDocument/2006/docPropsVTypes">
  <Template>Normal</Template>
  <TotalTime>39</TotalTime>
  <Pages>5</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Stadelberger</dc:creator>
  <cp:lastModifiedBy>Angele Tran</cp:lastModifiedBy>
  <cp:revision>10</cp:revision>
  <dcterms:created xsi:type="dcterms:W3CDTF">2020-01-16T15:15:00Z</dcterms:created>
  <dcterms:modified xsi:type="dcterms:W3CDTF">2026-01-13T13:56:00Z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21164700</vt:r8>
  </property>
  <property fmtid="{D5CDD505-2E9C-101B-9397-08002B2CF9AE}" pid="4" name="MediaServiceImageTags">
    <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_ip_UnifiedCompliancePolicyProperties">
    <vt:lpwstr/>
  </property>
  <property fmtid="{D5CDD505-2E9C-101B-9397-08002B2CF9AE}" pid="8" name="TaxCatchAll">
    <vt:lpwstr/>
  </property>
</Properties>
</file>