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2218F" w14:textId="77777777" w:rsidR="005824AC" w:rsidRDefault="005824AC" w:rsidP="00993181">
      <w:pPr>
        <w:jc w:val="center"/>
        <w:rPr>
          <w:rFonts w:ascii="Book Antiqua" w:hAnsi="Book Antiqua" w:cs="Arial"/>
          <w:color w:val="1D6960"/>
          <w:sz w:val="24"/>
          <w:szCs w:val="24"/>
        </w:rPr>
      </w:pPr>
    </w:p>
    <w:p w14:paraId="73B9AF7F" w14:textId="6FEAD7B5" w:rsidR="00993181" w:rsidRPr="005824AC" w:rsidRDefault="00993181" w:rsidP="00993181">
      <w:pPr>
        <w:jc w:val="center"/>
        <w:rPr>
          <w:rFonts w:ascii="Book Antiqua" w:hAnsi="Book Antiqua" w:cs="Arial"/>
          <w:color w:val="1D6960"/>
          <w:sz w:val="24"/>
          <w:szCs w:val="24"/>
        </w:rPr>
      </w:pPr>
      <w:r w:rsidRPr="005824AC">
        <w:rPr>
          <w:rFonts w:ascii="Book Antiqua" w:hAnsi="Book Antiqua" w:cs="Arial"/>
          <w:color w:val="1D6960"/>
          <w:sz w:val="24"/>
          <w:szCs w:val="24"/>
        </w:rPr>
        <w:t>Employee/Vendor Contractor Screening</w:t>
      </w:r>
    </w:p>
    <w:p w14:paraId="358E8503" w14:textId="77777777" w:rsidR="00993181" w:rsidRPr="005824AC" w:rsidRDefault="00993181" w:rsidP="00993181">
      <w:pPr>
        <w:rPr>
          <w:rFonts w:ascii="Book Antiqua" w:hAnsi="Book Antiqua" w:cs="Arial"/>
          <w:sz w:val="24"/>
          <w:szCs w:val="24"/>
        </w:rPr>
      </w:pPr>
      <w:r w:rsidRPr="005824AC">
        <w:rPr>
          <w:rFonts w:ascii="Book Antiqua" w:hAnsi="Book Antiqua" w:cs="Arial"/>
          <w:sz w:val="24"/>
          <w:szCs w:val="24"/>
        </w:rPr>
        <w:t xml:space="preserve">As health care providers we are required to perform a variety of reference checks and criminal background checks on our employees. Some states and facilities also perform drug testing as a form of employee screening. As part of the implementation of a compliance program, the OIG has set forth an expectation that all employees, vendors and contractors be screened through the Office of Inspector General List of Excluded Individuals and Entities list and the General Service Administration, System for Award Management (SAM) of Excluded Providers list serve systems. All new employees are to be checked upon hire and then </w:t>
      </w:r>
      <w:r w:rsidRPr="005824AC">
        <w:rPr>
          <w:rFonts w:ascii="Book Antiqua" w:hAnsi="Book Antiqua" w:cs="Arial"/>
          <w:i/>
          <w:sz w:val="24"/>
          <w:szCs w:val="24"/>
        </w:rPr>
        <w:t>“</w:t>
      </w:r>
      <w:r w:rsidRPr="005824AC">
        <w:rPr>
          <w:rFonts w:ascii="Book Antiqua" w:hAnsi="Book Antiqua" w:cs="Arial"/>
          <w:b/>
          <w:i/>
          <w:sz w:val="24"/>
          <w:szCs w:val="24"/>
        </w:rPr>
        <w:t>quarterly/monthly</w:t>
      </w:r>
      <w:r w:rsidRPr="005824AC">
        <w:rPr>
          <w:rFonts w:ascii="Book Antiqua" w:hAnsi="Book Antiqua" w:cs="Arial"/>
          <w:i/>
          <w:sz w:val="24"/>
          <w:szCs w:val="24"/>
        </w:rPr>
        <w:t>”</w:t>
      </w:r>
      <w:r w:rsidRPr="005824AC">
        <w:rPr>
          <w:rFonts w:ascii="Book Antiqua" w:hAnsi="Book Antiqua" w:cs="Arial"/>
          <w:sz w:val="24"/>
          <w:szCs w:val="24"/>
        </w:rPr>
        <w:t xml:space="preserve"> thereafter. All new contractors/vendors are to be checked prior to use and </w:t>
      </w:r>
      <w:r w:rsidRPr="005824AC">
        <w:rPr>
          <w:rFonts w:ascii="Book Antiqua" w:hAnsi="Book Antiqua" w:cs="Arial"/>
          <w:i/>
          <w:sz w:val="24"/>
          <w:szCs w:val="24"/>
        </w:rPr>
        <w:t>“</w:t>
      </w:r>
      <w:r w:rsidRPr="005824AC">
        <w:rPr>
          <w:rFonts w:ascii="Book Antiqua" w:hAnsi="Book Antiqua" w:cs="Arial"/>
          <w:b/>
          <w:i/>
          <w:sz w:val="24"/>
          <w:szCs w:val="24"/>
        </w:rPr>
        <w:t>quarterly/monthly</w:t>
      </w:r>
      <w:r w:rsidRPr="005824AC">
        <w:rPr>
          <w:rFonts w:ascii="Book Antiqua" w:hAnsi="Book Antiqua" w:cs="Arial"/>
          <w:sz w:val="24"/>
          <w:szCs w:val="24"/>
        </w:rPr>
        <w:t>” thereafter.</w:t>
      </w:r>
    </w:p>
    <w:p w14:paraId="379190E4" w14:textId="77777777" w:rsidR="00993181" w:rsidRPr="005824AC" w:rsidRDefault="00993181" w:rsidP="00993181">
      <w:pPr>
        <w:rPr>
          <w:rFonts w:ascii="Book Antiqua" w:hAnsi="Book Antiqua" w:cs="Arial"/>
          <w:i/>
          <w:sz w:val="24"/>
          <w:szCs w:val="24"/>
        </w:rPr>
      </w:pPr>
      <w:r w:rsidRPr="005824AC">
        <w:rPr>
          <w:rFonts w:ascii="Book Antiqua" w:hAnsi="Book Antiqua" w:cs="Arial"/>
          <w:sz w:val="24"/>
          <w:szCs w:val="24"/>
        </w:rPr>
        <w:t xml:space="preserve">The frequency of checking varies state to state and may also be determined by an </w:t>
      </w:r>
      <w:proofErr w:type="gramStart"/>
      <w:r w:rsidRPr="005824AC">
        <w:rPr>
          <w:rFonts w:ascii="Book Antiqua" w:hAnsi="Book Antiqua" w:cs="Arial"/>
          <w:sz w:val="24"/>
          <w:szCs w:val="24"/>
        </w:rPr>
        <w:t>organizations</w:t>
      </w:r>
      <w:proofErr w:type="gramEnd"/>
      <w:r w:rsidRPr="005824AC">
        <w:rPr>
          <w:rFonts w:ascii="Book Antiqua" w:hAnsi="Book Antiqua" w:cs="Arial"/>
          <w:sz w:val="24"/>
          <w:szCs w:val="24"/>
        </w:rPr>
        <w:t xml:space="preserve"> participation in Medicaid. In </w:t>
      </w:r>
      <w:r w:rsidRPr="005824AC">
        <w:rPr>
          <w:rFonts w:ascii="Book Antiqua" w:hAnsi="Book Antiqua" w:cs="Arial"/>
          <w:b/>
          <w:i/>
          <w:sz w:val="24"/>
          <w:szCs w:val="24"/>
        </w:rPr>
        <w:t>“enter your state”,</w:t>
      </w:r>
      <w:r w:rsidRPr="005824AC">
        <w:rPr>
          <w:rFonts w:ascii="Book Antiqua" w:hAnsi="Book Antiqua" w:cs="Arial"/>
          <w:i/>
          <w:sz w:val="24"/>
          <w:szCs w:val="24"/>
        </w:rPr>
        <w:t xml:space="preserve"> we</w:t>
      </w:r>
      <w:r w:rsidRPr="005824AC">
        <w:rPr>
          <w:rFonts w:ascii="Book Antiqua" w:hAnsi="Book Antiqua" w:cs="Arial"/>
          <w:sz w:val="24"/>
          <w:szCs w:val="24"/>
        </w:rPr>
        <w:t xml:space="preserve"> are required to perform the checks</w:t>
      </w:r>
      <w:r w:rsidRPr="005824AC">
        <w:rPr>
          <w:rFonts w:ascii="Book Antiqua" w:hAnsi="Book Antiqua" w:cs="Arial"/>
          <w:i/>
          <w:sz w:val="24"/>
          <w:szCs w:val="24"/>
        </w:rPr>
        <w:t xml:space="preserve"> “</w:t>
      </w:r>
      <w:r w:rsidRPr="005824AC">
        <w:rPr>
          <w:rFonts w:ascii="Book Antiqua" w:hAnsi="Book Antiqua" w:cs="Arial"/>
          <w:b/>
          <w:i/>
          <w:sz w:val="24"/>
          <w:szCs w:val="24"/>
        </w:rPr>
        <w:t>quarterly/monthly</w:t>
      </w:r>
      <w:r w:rsidRPr="005824AC">
        <w:rPr>
          <w:rFonts w:ascii="Book Antiqua" w:hAnsi="Book Antiqua" w:cs="Arial"/>
          <w:i/>
          <w:sz w:val="24"/>
          <w:szCs w:val="24"/>
        </w:rPr>
        <w:t>”.</w:t>
      </w:r>
    </w:p>
    <w:p w14:paraId="66705BA2" w14:textId="77777777" w:rsidR="00993181" w:rsidRPr="005824AC" w:rsidRDefault="00993181" w:rsidP="00993181">
      <w:pPr>
        <w:rPr>
          <w:rFonts w:ascii="Book Antiqua" w:hAnsi="Book Antiqua" w:cs="Arial"/>
          <w:b/>
          <w:color w:val="215868" w:themeColor="accent5" w:themeShade="80"/>
          <w:sz w:val="24"/>
          <w:szCs w:val="24"/>
        </w:rPr>
      </w:pPr>
      <w:r w:rsidRPr="005824AC">
        <w:rPr>
          <w:rFonts w:ascii="Book Antiqua" w:hAnsi="Book Antiqua" w:cs="Arial"/>
          <w:b/>
          <w:color w:val="215868" w:themeColor="accent5" w:themeShade="80"/>
          <w:sz w:val="24"/>
          <w:szCs w:val="24"/>
        </w:rPr>
        <w:t>There are three basic lists to check:</w:t>
      </w:r>
    </w:p>
    <w:p w14:paraId="7F7849C3" w14:textId="77777777" w:rsidR="00993181" w:rsidRPr="005824AC" w:rsidRDefault="00993181" w:rsidP="00A248B2">
      <w:pPr>
        <w:pStyle w:val="ListParagraph"/>
        <w:numPr>
          <w:ilvl w:val="0"/>
          <w:numId w:val="6"/>
        </w:numPr>
        <w:rPr>
          <w:rFonts w:ascii="Book Antiqua" w:hAnsi="Book Antiqua" w:cs="Arial"/>
          <w:sz w:val="24"/>
          <w:szCs w:val="24"/>
        </w:rPr>
      </w:pPr>
      <w:r w:rsidRPr="005824AC">
        <w:rPr>
          <w:rFonts w:ascii="Book Antiqua" w:hAnsi="Book Antiqua" w:cs="Arial"/>
          <w:sz w:val="24"/>
          <w:szCs w:val="24"/>
        </w:rPr>
        <w:t>OIG Office of Inspector General Exclusion List</w:t>
      </w:r>
    </w:p>
    <w:p w14:paraId="44B2BDF8" w14:textId="77777777" w:rsidR="00993181" w:rsidRPr="005824AC" w:rsidRDefault="00993181" w:rsidP="00A248B2">
      <w:pPr>
        <w:pStyle w:val="ListParagraph"/>
        <w:numPr>
          <w:ilvl w:val="0"/>
          <w:numId w:val="6"/>
        </w:numPr>
        <w:rPr>
          <w:rFonts w:ascii="Book Antiqua" w:hAnsi="Book Antiqua" w:cs="Arial"/>
          <w:sz w:val="24"/>
          <w:szCs w:val="24"/>
        </w:rPr>
      </w:pPr>
      <w:r w:rsidRPr="005824AC">
        <w:rPr>
          <w:rFonts w:ascii="Book Antiqua" w:hAnsi="Book Antiqua" w:cs="Arial"/>
          <w:sz w:val="24"/>
          <w:szCs w:val="24"/>
        </w:rPr>
        <w:t>SAM (Systems for Award Management) List</w:t>
      </w:r>
    </w:p>
    <w:p w14:paraId="182E9DF3" w14:textId="77777777" w:rsidR="00993181" w:rsidRPr="005824AC" w:rsidRDefault="00993181" w:rsidP="00A248B2">
      <w:pPr>
        <w:pStyle w:val="ListParagraph"/>
        <w:numPr>
          <w:ilvl w:val="0"/>
          <w:numId w:val="6"/>
        </w:numPr>
        <w:rPr>
          <w:rFonts w:ascii="Book Antiqua" w:hAnsi="Book Antiqua" w:cs="Arial"/>
          <w:sz w:val="24"/>
          <w:szCs w:val="24"/>
        </w:rPr>
      </w:pPr>
      <w:r w:rsidRPr="005824AC">
        <w:rPr>
          <w:rFonts w:ascii="Book Antiqua" w:hAnsi="Book Antiqua" w:cs="Arial"/>
          <w:sz w:val="24"/>
          <w:szCs w:val="24"/>
        </w:rPr>
        <w:t>State Medicaid List</w:t>
      </w:r>
    </w:p>
    <w:p w14:paraId="4F6E385C" w14:textId="2BC9D733" w:rsidR="00993181" w:rsidRPr="005824AC" w:rsidRDefault="008B4557" w:rsidP="00993181">
      <w:pPr>
        <w:rPr>
          <w:rFonts w:ascii="Book Antiqua" w:hAnsi="Book Antiqua" w:cs="Arial"/>
          <w:sz w:val="24"/>
          <w:szCs w:val="24"/>
        </w:rPr>
      </w:pPr>
      <w:r>
        <w:rPr>
          <w:rFonts w:ascii="Book Antiqua" w:hAnsi="Book Antiqua" w:cs="Arial"/>
          <w:sz w:val="24"/>
          <w:szCs w:val="24"/>
        </w:rPr>
        <w:t>AQORD</w:t>
      </w:r>
      <w:r w:rsidR="00993181" w:rsidRPr="005824AC">
        <w:rPr>
          <w:rFonts w:ascii="Book Antiqua" w:hAnsi="Book Antiqua" w:cs="Arial"/>
          <w:sz w:val="24"/>
          <w:szCs w:val="24"/>
        </w:rPr>
        <w:t xml:space="preserve"> Compliance supports the community by completing subsequent reviews on a “</w:t>
      </w:r>
      <w:r w:rsidR="00993181" w:rsidRPr="005824AC">
        <w:rPr>
          <w:rFonts w:ascii="Book Antiqua" w:hAnsi="Book Antiqua" w:cs="Arial"/>
          <w:b/>
          <w:i/>
          <w:sz w:val="24"/>
          <w:szCs w:val="24"/>
        </w:rPr>
        <w:t>quarterly/monthly”</w:t>
      </w:r>
      <w:r w:rsidR="00993181" w:rsidRPr="005824AC">
        <w:rPr>
          <w:rFonts w:ascii="Book Antiqua" w:hAnsi="Book Antiqua" w:cs="Arial"/>
          <w:sz w:val="24"/>
          <w:szCs w:val="24"/>
        </w:rPr>
        <w:t xml:space="preserve"> basis.  The electronic file of the completed lists is then sent back to the organization for filing and retention. </w:t>
      </w:r>
    </w:p>
    <w:p w14:paraId="52750D65" w14:textId="77777777" w:rsidR="008048AC" w:rsidRPr="005824AC" w:rsidRDefault="008048AC" w:rsidP="00993181">
      <w:pPr>
        <w:rPr>
          <w:rFonts w:ascii="Book Antiqua" w:hAnsi="Book Antiqua"/>
          <w:sz w:val="24"/>
          <w:szCs w:val="24"/>
        </w:rPr>
      </w:pPr>
    </w:p>
    <w:p w14:paraId="6F8FABB6" w14:textId="77777777" w:rsidR="00505281" w:rsidRPr="005824AC" w:rsidRDefault="00505281">
      <w:pPr>
        <w:rPr>
          <w:rFonts w:ascii="Book Antiqua" w:hAnsi="Book Antiqua"/>
          <w:sz w:val="24"/>
          <w:szCs w:val="24"/>
        </w:rPr>
      </w:pPr>
    </w:p>
    <w:p w14:paraId="75BB6504" w14:textId="77777777" w:rsidR="00505281" w:rsidRPr="005824AC" w:rsidRDefault="00505281" w:rsidP="00505281">
      <w:pPr>
        <w:rPr>
          <w:rFonts w:ascii="Book Antiqua" w:hAnsi="Book Antiqua"/>
          <w:sz w:val="24"/>
          <w:szCs w:val="24"/>
        </w:rPr>
      </w:pPr>
    </w:p>
    <w:p w14:paraId="311F4D0E" w14:textId="77777777" w:rsidR="00505281" w:rsidRPr="005824AC" w:rsidRDefault="00505281" w:rsidP="00505281">
      <w:pPr>
        <w:rPr>
          <w:rFonts w:ascii="Book Antiqua" w:hAnsi="Book Antiqua"/>
          <w:sz w:val="24"/>
          <w:szCs w:val="24"/>
        </w:rPr>
      </w:pPr>
    </w:p>
    <w:p w14:paraId="18DBDCA4" w14:textId="77777777" w:rsidR="00F44935" w:rsidRPr="005824AC" w:rsidRDefault="00F44935" w:rsidP="00505281">
      <w:pPr>
        <w:jc w:val="center"/>
        <w:rPr>
          <w:rFonts w:ascii="Book Antiqua" w:hAnsi="Book Antiqua"/>
          <w:sz w:val="24"/>
          <w:szCs w:val="24"/>
        </w:rPr>
      </w:pPr>
    </w:p>
    <w:sectPr w:rsidR="00F44935" w:rsidRPr="005824AC" w:rsidSect="00BF447D">
      <w:headerReference w:type="default" r:id="rId10"/>
      <w:footerReference w:type="default" r:id="rId11"/>
      <w:pgSz w:w="12240" w:h="15840" w:code="1"/>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18F8C" w14:textId="77777777" w:rsidR="00572A5F" w:rsidRDefault="00572A5F" w:rsidP="00BF447D">
      <w:pPr>
        <w:spacing w:after="0" w:line="240" w:lineRule="auto"/>
      </w:pPr>
      <w:r>
        <w:separator/>
      </w:r>
    </w:p>
  </w:endnote>
  <w:endnote w:type="continuationSeparator" w:id="0">
    <w:p w14:paraId="5345077F" w14:textId="77777777" w:rsidR="00572A5F" w:rsidRDefault="00572A5F" w:rsidP="00BF4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CD267" w14:textId="3F8C587B" w:rsidR="005824AC" w:rsidRPr="008D0B78" w:rsidRDefault="005824AC">
    <w:pPr>
      <w:pStyle w:val="Footer"/>
      <w:rPr>
        <w:rFonts w:ascii="Book Antiqua" w:hAnsi="Book Antiqua"/>
        <w:sz w:val="20"/>
        <w:szCs w:val="20"/>
      </w:rPr>
    </w:pPr>
    <w:r w:rsidRPr="008D0B78">
      <w:rPr>
        <w:rFonts w:ascii="Book Antiqua" w:hAnsi="Book Antiqua" w:cstheme="minorHAnsi"/>
        <w:sz w:val="20"/>
        <w:szCs w:val="20"/>
      </w:rPr>
      <w:t>©</w:t>
    </w:r>
    <w:r w:rsidRPr="008D0B78">
      <w:rPr>
        <w:rFonts w:ascii="Book Antiqua" w:hAnsi="Book Antiqua"/>
        <w:sz w:val="20"/>
        <w:szCs w:val="20"/>
      </w:rPr>
      <w:t xml:space="preserve"> AQORD Compliance</w:t>
    </w:r>
  </w:p>
  <w:p w14:paraId="44261836" w14:textId="77777777" w:rsidR="005824AC" w:rsidRDefault="005824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99431" w14:textId="77777777" w:rsidR="00572A5F" w:rsidRDefault="00572A5F" w:rsidP="00BF447D">
      <w:pPr>
        <w:spacing w:after="0" w:line="240" w:lineRule="auto"/>
      </w:pPr>
      <w:r>
        <w:separator/>
      </w:r>
    </w:p>
  </w:footnote>
  <w:footnote w:type="continuationSeparator" w:id="0">
    <w:p w14:paraId="628DCCE6" w14:textId="77777777" w:rsidR="00572A5F" w:rsidRDefault="00572A5F" w:rsidP="00BF4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7A6A0" w14:textId="214D38B6" w:rsidR="00262EB8" w:rsidRDefault="005824AC">
    <w:pPr>
      <w:pStyle w:val="Header"/>
    </w:pPr>
    <w:r>
      <w:rPr>
        <w:noProof/>
      </w:rPr>
      <w:drawing>
        <wp:anchor distT="0" distB="0" distL="114300" distR="114300" simplePos="0" relativeHeight="251658240" behindDoc="1" locked="0" layoutInCell="1" allowOverlap="1" wp14:anchorId="2A855019" wp14:editId="33F13F98">
          <wp:simplePos x="0" y="0"/>
          <wp:positionH relativeFrom="column">
            <wp:posOffset>4070350</wp:posOffset>
          </wp:positionH>
          <wp:positionV relativeFrom="paragraph">
            <wp:posOffset>-628650</wp:posOffset>
          </wp:positionV>
          <wp:extent cx="3048000" cy="1714500"/>
          <wp:effectExtent l="0" t="0" r="0" b="0"/>
          <wp:wrapNone/>
          <wp:docPr id="21001119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111934" name="Picture 2100111934"/>
                  <pic:cNvPicPr/>
                </pic:nvPicPr>
                <pic:blipFill>
                  <a:blip r:embed="rId1">
                    <a:extLst>
                      <a:ext uri="{28A0092B-C50C-407E-A947-70E740481C1C}">
                        <a14:useLocalDpi xmlns:a14="http://schemas.microsoft.com/office/drawing/2010/main" val="0"/>
                      </a:ext>
                    </a:extLst>
                  </a:blip>
                  <a:stretch>
                    <a:fillRect/>
                  </a:stretch>
                </pic:blipFill>
                <pic:spPr>
                  <a:xfrm>
                    <a:off x="0" y="0"/>
                    <a:ext cx="3050491" cy="171590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36BE1"/>
    <w:multiLevelType w:val="hybridMultilevel"/>
    <w:tmpl w:val="CCCC23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6DD32CD"/>
    <w:multiLevelType w:val="hybridMultilevel"/>
    <w:tmpl w:val="24F64F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112283"/>
    <w:multiLevelType w:val="hybridMultilevel"/>
    <w:tmpl w:val="8AC2DBE0"/>
    <w:lvl w:ilvl="0" w:tplc="7CDA4B2E">
      <w:start w:val="1"/>
      <w:numFmt w:val="bullet"/>
      <w:lvlText w:val=""/>
      <w:lvlJc w:val="left"/>
      <w:pPr>
        <w:ind w:left="1080" w:hanging="360"/>
      </w:pPr>
      <w:rPr>
        <w:rFonts w:ascii="Wingdings" w:hAnsi="Wingdings" w:hint="default"/>
        <w:snapToGrid/>
        <w:color w:val="auto"/>
        <w:spacing w:val="-4"/>
        <w:w w:val="105"/>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E3C7348"/>
    <w:multiLevelType w:val="hybridMultilevel"/>
    <w:tmpl w:val="E012B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B07739"/>
    <w:multiLevelType w:val="hybridMultilevel"/>
    <w:tmpl w:val="1D9C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A633B2"/>
    <w:multiLevelType w:val="hybridMultilevel"/>
    <w:tmpl w:val="D7A45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524267">
    <w:abstractNumId w:val="5"/>
  </w:num>
  <w:num w:numId="2" w16cid:durableId="1882983136">
    <w:abstractNumId w:val="4"/>
  </w:num>
  <w:num w:numId="3" w16cid:durableId="157381862">
    <w:abstractNumId w:val="3"/>
  </w:num>
  <w:num w:numId="4" w16cid:durableId="1137455940">
    <w:abstractNumId w:val="1"/>
  </w:num>
  <w:num w:numId="5" w16cid:durableId="1258059471">
    <w:abstractNumId w:val="0"/>
  </w:num>
  <w:num w:numId="6" w16cid:durableId="12034417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24D"/>
    <w:rsid w:val="00015996"/>
    <w:rsid w:val="00047BC2"/>
    <w:rsid w:val="000A4E33"/>
    <w:rsid w:val="001116F7"/>
    <w:rsid w:val="001474B9"/>
    <w:rsid w:val="00262EB8"/>
    <w:rsid w:val="00295DD9"/>
    <w:rsid w:val="002B4E19"/>
    <w:rsid w:val="00367DF1"/>
    <w:rsid w:val="00396B57"/>
    <w:rsid w:val="003C73B1"/>
    <w:rsid w:val="003F0ADD"/>
    <w:rsid w:val="00481D1B"/>
    <w:rsid w:val="004F624C"/>
    <w:rsid w:val="00505281"/>
    <w:rsid w:val="0051582D"/>
    <w:rsid w:val="00572A5F"/>
    <w:rsid w:val="005824AC"/>
    <w:rsid w:val="00640235"/>
    <w:rsid w:val="006F1DF2"/>
    <w:rsid w:val="00710585"/>
    <w:rsid w:val="00762C8D"/>
    <w:rsid w:val="008048AC"/>
    <w:rsid w:val="008332FB"/>
    <w:rsid w:val="0085482E"/>
    <w:rsid w:val="008A29C9"/>
    <w:rsid w:val="008B4557"/>
    <w:rsid w:val="008D0B78"/>
    <w:rsid w:val="008E6829"/>
    <w:rsid w:val="00964E92"/>
    <w:rsid w:val="00993181"/>
    <w:rsid w:val="009E1960"/>
    <w:rsid w:val="00A07CFA"/>
    <w:rsid w:val="00A248B2"/>
    <w:rsid w:val="00A33A96"/>
    <w:rsid w:val="00A36499"/>
    <w:rsid w:val="00A55602"/>
    <w:rsid w:val="00A866D0"/>
    <w:rsid w:val="00AC3EC4"/>
    <w:rsid w:val="00BF447D"/>
    <w:rsid w:val="00C531ED"/>
    <w:rsid w:val="00C54C44"/>
    <w:rsid w:val="00C5679D"/>
    <w:rsid w:val="00CA491F"/>
    <w:rsid w:val="00CC4031"/>
    <w:rsid w:val="00D24416"/>
    <w:rsid w:val="00DD36DA"/>
    <w:rsid w:val="00F44935"/>
    <w:rsid w:val="00F7024D"/>
    <w:rsid w:val="00F73E76"/>
    <w:rsid w:val="00F77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306C31"/>
  <w15:docId w15:val="{C1E81392-6583-4C90-8C4F-1FE2F6639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2C8D"/>
    <w:pPr>
      <w:ind w:left="720"/>
      <w:contextualSpacing/>
    </w:pPr>
  </w:style>
  <w:style w:type="paragraph" w:styleId="Header">
    <w:name w:val="header"/>
    <w:basedOn w:val="Normal"/>
    <w:link w:val="HeaderChar"/>
    <w:uiPriority w:val="99"/>
    <w:unhideWhenUsed/>
    <w:rsid w:val="00BF44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447D"/>
  </w:style>
  <w:style w:type="paragraph" w:styleId="Footer">
    <w:name w:val="footer"/>
    <w:basedOn w:val="Normal"/>
    <w:link w:val="FooterChar"/>
    <w:uiPriority w:val="99"/>
    <w:unhideWhenUsed/>
    <w:rsid w:val="00BF44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447D"/>
  </w:style>
  <w:style w:type="paragraph" w:styleId="BalloonText">
    <w:name w:val="Balloon Text"/>
    <w:basedOn w:val="Normal"/>
    <w:link w:val="BalloonTextChar"/>
    <w:uiPriority w:val="99"/>
    <w:semiHidden/>
    <w:unhideWhenUsed/>
    <w:rsid w:val="00BF44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44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152816">
      <w:bodyDiv w:val="1"/>
      <w:marLeft w:val="0"/>
      <w:marRight w:val="0"/>
      <w:marTop w:val="0"/>
      <w:marBottom w:val="0"/>
      <w:divBdr>
        <w:top w:val="none" w:sz="0" w:space="0" w:color="auto"/>
        <w:left w:val="none" w:sz="0" w:space="0" w:color="auto"/>
        <w:bottom w:val="none" w:sz="0" w:space="0" w:color="auto"/>
        <w:right w:val="none" w:sz="0" w:space="0" w:color="auto"/>
      </w:divBdr>
      <w:divsChild>
        <w:div w:id="453408902">
          <w:marLeft w:val="0"/>
          <w:marRight w:val="0"/>
          <w:marTop w:val="0"/>
          <w:marBottom w:val="0"/>
          <w:divBdr>
            <w:top w:val="none" w:sz="0" w:space="0" w:color="auto"/>
            <w:left w:val="none" w:sz="0" w:space="0" w:color="auto"/>
            <w:bottom w:val="none" w:sz="0" w:space="0" w:color="auto"/>
            <w:right w:val="none" w:sz="0" w:space="0" w:color="auto"/>
          </w:divBdr>
        </w:div>
        <w:div w:id="1431701974">
          <w:marLeft w:val="0"/>
          <w:marRight w:val="0"/>
          <w:marTop w:val="0"/>
          <w:marBottom w:val="0"/>
          <w:divBdr>
            <w:top w:val="none" w:sz="0" w:space="0" w:color="auto"/>
            <w:left w:val="none" w:sz="0" w:space="0" w:color="auto"/>
            <w:bottom w:val="none" w:sz="0" w:space="0" w:color="auto"/>
            <w:right w:val="none" w:sz="0" w:space="0" w:color="auto"/>
          </w:divBdr>
        </w:div>
        <w:div w:id="1543636173">
          <w:marLeft w:val="0"/>
          <w:marRight w:val="0"/>
          <w:marTop w:val="0"/>
          <w:marBottom w:val="0"/>
          <w:divBdr>
            <w:top w:val="none" w:sz="0" w:space="0" w:color="auto"/>
            <w:left w:val="none" w:sz="0" w:space="0" w:color="auto"/>
            <w:bottom w:val="none" w:sz="0" w:space="0" w:color="auto"/>
            <w:right w:val="none" w:sz="0" w:space="0" w:color="auto"/>
          </w:divBdr>
        </w:div>
        <w:div w:id="819076098">
          <w:marLeft w:val="0"/>
          <w:marRight w:val="0"/>
          <w:marTop w:val="0"/>
          <w:marBottom w:val="0"/>
          <w:divBdr>
            <w:top w:val="none" w:sz="0" w:space="0" w:color="auto"/>
            <w:left w:val="none" w:sz="0" w:space="0" w:color="auto"/>
            <w:bottom w:val="none" w:sz="0" w:space="0" w:color="auto"/>
            <w:right w:val="none" w:sz="0" w:space="0" w:color="auto"/>
          </w:divBdr>
        </w:div>
        <w:div w:id="243531843">
          <w:marLeft w:val="0"/>
          <w:marRight w:val="0"/>
          <w:marTop w:val="0"/>
          <w:marBottom w:val="0"/>
          <w:divBdr>
            <w:top w:val="none" w:sz="0" w:space="0" w:color="auto"/>
            <w:left w:val="none" w:sz="0" w:space="0" w:color="auto"/>
            <w:bottom w:val="none" w:sz="0" w:space="0" w:color="auto"/>
            <w:right w:val="none" w:sz="0" w:space="0" w:color="auto"/>
          </w:divBdr>
        </w:div>
        <w:div w:id="515967591">
          <w:marLeft w:val="0"/>
          <w:marRight w:val="0"/>
          <w:marTop w:val="0"/>
          <w:marBottom w:val="0"/>
          <w:divBdr>
            <w:top w:val="none" w:sz="0" w:space="0" w:color="auto"/>
            <w:left w:val="none" w:sz="0" w:space="0" w:color="auto"/>
            <w:bottom w:val="none" w:sz="0" w:space="0" w:color="auto"/>
            <w:right w:val="none" w:sz="0" w:space="0" w:color="auto"/>
          </w:divBdr>
        </w:div>
        <w:div w:id="191651729">
          <w:marLeft w:val="0"/>
          <w:marRight w:val="0"/>
          <w:marTop w:val="0"/>
          <w:marBottom w:val="0"/>
          <w:divBdr>
            <w:top w:val="none" w:sz="0" w:space="0" w:color="auto"/>
            <w:left w:val="none" w:sz="0" w:space="0" w:color="auto"/>
            <w:bottom w:val="none" w:sz="0" w:space="0" w:color="auto"/>
            <w:right w:val="none" w:sz="0" w:space="0" w:color="auto"/>
          </w:divBdr>
        </w:div>
        <w:div w:id="1910536415">
          <w:marLeft w:val="0"/>
          <w:marRight w:val="0"/>
          <w:marTop w:val="0"/>
          <w:marBottom w:val="0"/>
          <w:divBdr>
            <w:top w:val="none" w:sz="0" w:space="0" w:color="auto"/>
            <w:left w:val="none" w:sz="0" w:space="0" w:color="auto"/>
            <w:bottom w:val="none" w:sz="0" w:space="0" w:color="auto"/>
            <w:right w:val="none" w:sz="0" w:space="0" w:color="auto"/>
          </w:divBdr>
        </w:div>
        <w:div w:id="939066984">
          <w:marLeft w:val="0"/>
          <w:marRight w:val="0"/>
          <w:marTop w:val="0"/>
          <w:marBottom w:val="0"/>
          <w:divBdr>
            <w:top w:val="none" w:sz="0" w:space="0" w:color="auto"/>
            <w:left w:val="none" w:sz="0" w:space="0" w:color="auto"/>
            <w:bottom w:val="none" w:sz="0" w:space="0" w:color="auto"/>
            <w:right w:val="none" w:sz="0" w:space="0" w:color="auto"/>
          </w:divBdr>
        </w:div>
        <w:div w:id="1044713251">
          <w:marLeft w:val="0"/>
          <w:marRight w:val="0"/>
          <w:marTop w:val="0"/>
          <w:marBottom w:val="0"/>
          <w:divBdr>
            <w:top w:val="none" w:sz="0" w:space="0" w:color="auto"/>
            <w:left w:val="none" w:sz="0" w:space="0" w:color="auto"/>
            <w:bottom w:val="none" w:sz="0" w:space="0" w:color="auto"/>
            <w:right w:val="none" w:sz="0" w:space="0" w:color="auto"/>
          </w:divBdr>
        </w:div>
        <w:div w:id="1351682126">
          <w:marLeft w:val="0"/>
          <w:marRight w:val="0"/>
          <w:marTop w:val="0"/>
          <w:marBottom w:val="0"/>
          <w:divBdr>
            <w:top w:val="none" w:sz="0" w:space="0" w:color="auto"/>
            <w:left w:val="none" w:sz="0" w:space="0" w:color="auto"/>
            <w:bottom w:val="none" w:sz="0" w:space="0" w:color="auto"/>
            <w:right w:val="none" w:sz="0" w:space="0" w:color="auto"/>
          </w:divBdr>
        </w:div>
        <w:div w:id="887062170">
          <w:marLeft w:val="0"/>
          <w:marRight w:val="0"/>
          <w:marTop w:val="0"/>
          <w:marBottom w:val="0"/>
          <w:divBdr>
            <w:top w:val="none" w:sz="0" w:space="0" w:color="auto"/>
            <w:left w:val="none" w:sz="0" w:space="0" w:color="auto"/>
            <w:bottom w:val="none" w:sz="0" w:space="0" w:color="auto"/>
            <w:right w:val="none" w:sz="0" w:space="0" w:color="auto"/>
          </w:divBdr>
        </w:div>
        <w:div w:id="417411023">
          <w:marLeft w:val="0"/>
          <w:marRight w:val="0"/>
          <w:marTop w:val="0"/>
          <w:marBottom w:val="0"/>
          <w:divBdr>
            <w:top w:val="none" w:sz="0" w:space="0" w:color="auto"/>
            <w:left w:val="none" w:sz="0" w:space="0" w:color="auto"/>
            <w:bottom w:val="none" w:sz="0" w:space="0" w:color="auto"/>
            <w:right w:val="none" w:sz="0" w:space="0" w:color="auto"/>
          </w:divBdr>
        </w:div>
        <w:div w:id="750004574">
          <w:marLeft w:val="0"/>
          <w:marRight w:val="0"/>
          <w:marTop w:val="0"/>
          <w:marBottom w:val="0"/>
          <w:divBdr>
            <w:top w:val="none" w:sz="0" w:space="0" w:color="auto"/>
            <w:left w:val="none" w:sz="0" w:space="0" w:color="auto"/>
            <w:bottom w:val="none" w:sz="0" w:space="0" w:color="auto"/>
            <w:right w:val="none" w:sz="0" w:space="0" w:color="auto"/>
          </w:divBdr>
        </w:div>
      </w:divsChild>
    </w:div>
    <w:div w:id="120313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9E64EDCFB31B4CB1979EE8113592EC" ma:contentTypeVersion="16" ma:contentTypeDescription="Create a new document." ma:contentTypeScope="" ma:versionID="0a53708b7e4a482d34321f867f98ccb0">
  <xsd:schema xmlns:xsd="http://www.w3.org/2001/XMLSchema" xmlns:xs="http://www.w3.org/2001/XMLSchema" xmlns:p="http://schemas.microsoft.com/office/2006/metadata/properties" xmlns:ns1="http://schemas.microsoft.com/sharepoint/v3" xmlns:ns2="8867576c-7523-42bb-8f0c-69c7f63c2dac" xmlns:ns3="044759fe-3326-4f84-acc4-6ac823f2698a" targetNamespace="http://schemas.microsoft.com/office/2006/metadata/properties" ma:root="true" ma:fieldsID="92b881fd240b8a796f247fb559a3f4bc" ns1:_="" ns2:_="" ns3:_="">
    <xsd:import namespace="http://schemas.microsoft.com/sharepoint/v3"/>
    <xsd:import namespace="8867576c-7523-42bb-8f0c-69c7f63c2dac"/>
    <xsd:import namespace="044759fe-3326-4f84-acc4-6ac823f2698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67576c-7523-42bb-8f0c-69c7f63c2d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f9746ba-156a-4ba1-8b97-10e5ed77a24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4759fe-3326-4f84-acc4-6ac823f2698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bd890c-640f-40f6-810e-51ad8da91640}" ma:internalName="TaxCatchAll" ma:showField="CatchAllData" ma:web="044759fe-3326-4f84-acc4-6ac823f269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8867576c-7523-42bb-8f0c-69c7f63c2dac">
      <Terms xmlns="http://schemas.microsoft.com/office/infopath/2007/PartnerControls"/>
    </lcf76f155ced4ddcb4097134ff3c332f>
    <_ip_UnifiedCompliancePolicyProperties xmlns="http://schemas.microsoft.com/sharepoint/v3" xsi:nil="true"/>
    <TaxCatchAll xmlns="044759fe-3326-4f84-acc4-6ac823f2698a" xsi:nil="true"/>
  </documentManagement>
</p:properties>
</file>

<file path=customXml/itemProps1.xml><?xml version="1.0" encoding="utf-8"?>
<ds:datastoreItem xmlns:ds="http://schemas.openxmlformats.org/officeDocument/2006/customXml" ds:itemID="{DE944AFC-790A-4221-B7C2-74E21DB695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867576c-7523-42bb-8f0c-69c7f63c2dac"/>
    <ds:schemaRef ds:uri="044759fe-3326-4f84-acc4-6ac823f269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5DF1CF-CC0E-4BCB-969C-46BA55ECF84E}">
  <ds:schemaRefs>
    <ds:schemaRef ds:uri="http://schemas.microsoft.com/sharepoint/v3/contenttype/forms"/>
  </ds:schemaRefs>
</ds:datastoreItem>
</file>

<file path=customXml/itemProps3.xml><?xml version="1.0" encoding="utf-8"?>
<ds:datastoreItem xmlns:ds="http://schemas.openxmlformats.org/officeDocument/2006/customXml" ds:itemID="{C9A1E248-40A2-4F30-9E2E-8CF582FAF4DA}">
  <ds:schemaRefs>
    <ds:schemaRef ds:uri="http://schemas.microsoft.com/office/2006/metadata/properties"/>
    <ds:schemaRef ds:uri="http://schemas.microsoft.com/office/infopath/2007/PartnerControls"/>
    <ds:schemaRef ds:uri="http://schemas.microsoft.com/sharepoint/v3"/>
    <ds:schemaRef ds:uri="8867576c-7523-42bb-8f0c-69c7f63c2dac"/>
    <ds:schemaRef ds:uri="044759fe-3326-4f84-acc4-6ac823f2698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202</Words>
  <Characters>1154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Stadelberger</dc:creator>
  <cp:lastModifiedBy>Angele Tran</cp:lastModifiedBy>
  <cp:revision>11</cp:revision>
  <dcterms:created xsi:type="dcterms:W3CDTF">2020-01-16T15:12:00Z</dcterms:created>
  <dcterms:modified xsi:type="dcterms:W3CDTF">2026-01-13T13:53:00Z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0x010100FB9E64EDCFB31B4CB1979EE8113592EC</vt:lpwstr>
  </property>
  <property fmtid="{D5CDD505-2E9C-101B-9397-08002B2CF9AE}" pid="3" name="Order">
    <vt:r8>21164300</vt:r8>
  </property>
  <property fmtid="{D5CDD505-2E9C-101B-9397-08002B2CF9AE}" pid="4" name="MediaServiceImageTags">
    <vt:lpwstr/>
  </property>
  <property fmtid="{D5CDD505-2E9C-101B-9397-08002B2CF9AE}" pid="6" name="docLang">
    <vt:lpwstr>en</vt:lpwstr>
  </property>
</Properties>
</file>