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3EB5" w14:textId="77777777" w:rsidR="008F67F5" w:rsidRDefault="008F67F5" w:rsidP="004334E1">
      <w:pPr>
        <w:rPr>
          <w:rFonts w:ascii="Futura Md BT" w:hAnsi="Futura Md BT" w:cs="Arial"/>
          <w:color w:val="215868" w:themeColor="accent5" w:themeShade="80"/>
          <w:sz w:val="28"/>
        </w:rPr>
      </w:pPr>
    </w:p>
    <w:p w14:paraId="0E15AF81" w14:textId="43ADA3D3" w:rsidR="0051582D" w:rsidRPr="004334E1" w:rsidRDefault="00F7024D" w:rsidP="00710585">
      <w:pPr>
        <w:jc w:val="center"/>
        <w:rPr>
          <w:rFonts w:ascii="Book Antiqua" w:hAnsi="Book Antiqua" w:cs="Arial"/>
          <w:color w:val="215868" w:themeColor="accent5" w:themeShade="80"/>
          <w:sz w:val="28"/>
        </w:rPr>
      </w:pPr>
      <w:r w:rsidRPr="004334E1">
        <w:rPr>
          <w:rFonts w:ascii="Book Antiqua" w:hAnsi="Book Antiqua" w:cs="Arial"/>
          <w:color w:val="215868" w:themeColor="accent5" w:themeShade="80"/>
          <w:sz w:val="28"/>
        </w:rPr>
        <w:t>Legal Constructs and Considerations in a</w:t>
      </w:r>
      <w:r w:rsidR="00FF63E3">
        <w:rPr>
          <w:rFonts w:ascii="Book Antiqua" w:hAnsi="Book Antiqua" w:cs="Arial"/>
          <w:color w:val="215868" w:themeColor="accent5" w:themeShade="80"/>
          <w:sz w:val="28"/>
        </w:rPr>
        <w:t xml:space="preserve"> </w:t>
      </w:r>
      <w:r w:rsidRPr="004334E1">
        <w:rPr>
          <w:rFonts w:ascii="Book Antiqua" w:hAnsi="Book Antiqua" w:cs="Arial"/>
          <w:color w:val="215868" w:themeColor="accent5" w:themeShade="80"/>
          <w:sz w:val="28"/>
        </w:rPr>
        <w:t>Compliance Program</w:t>
      </w:r>
    </w:p>
    <w:p w14:paraId="70FA9365" w14:textId="77777777" w:rsidR="00F7024D" w:rsidRPr="004334E1" w:rsidRDefault="008E6829">
      <w:pPr>
        <w:rPr>
          <w:rFonts w:ascii="Book Antiqua" w:hAnsi="Book Antiqua" w:cs="Arial"/>
          <w:color w:val="215868" w:themeColor="accent5" w:themeShade="80"/>
        </w:rPr>
      </w:pPr>
      <w:r w:rsidRPr="004334E1">
        <w:rPr>
          <w:rFonts w:ascii="Book Antiqua" w:hAnsi="Book Antiqua" w:cs="Arial"/>
          <w:color w:val="215868" w:themeColor="accent5" w:themeShade="80"/>
        </w:rPr>
        <w:t>False Claims Act</w:t>
      </w:r>
      <w:r w:rsidR="00A36499" w:rsidRPr="004334E1">
        <w:rPr>
          <w:rFonts w:ascii="Book Antiqua" w:hAnsi="Book Antiqua" w:cs="Arial"/>
          <w:color w:val="215868" w:themeColor="accent5" w:themeShade="80"/>
        </w:rPr>
        <w:t xml:space="preserve"> (FCA)</w:t>
      </w:r>
      <w:r w:rsidRPr="004334E1">
        <w:rPr>
          <w:rFonts w:ascii="Book Antiqua" w:hAnsi="Book Antiqua" w:cs="Arial"/>
          <w:color w:val="215868" w:themeColor="accent5" w:themeShade="80"/>
        </w:rPr>
        <w:t>:</w:t>
      </w:r>
    </w:p>
    <w:p w14:paraId="57F577FC" w14:textId="77777777" w:rsidR="008E6829" w:rsidRPr="004334E1" w:rsidRDefault="008E6829">
      <w:pPr>
        <w:rPr>
          <w:rFonts w:ascii="Book Antiqua" w:hAnsi="Book Antiqua" w:cs="Arial"/>
        </w:rPr>
      </w:pPr>
      <w:r w:rsidRPr="004334E1">
        <w:rPr>
          <w:rFonts w:ascii="Book Antiqua" w:hAnsi="Book Antiqua" w:cs="Arial"/>
        </w:rPr>
        <w:t>Most often used to bring a case against a Health Care provider for submission of claims to a Federal Health Care Program.</w:t>
      </w:r>
      <w:r w:rsidR="00C5679D" w:rsidRPr="004334E1">
        <w:rPr>
          <w:rFonts w:ascii="Book Antiqua" w:hAnsi="Book Antiqua" w:cs="Arial"/>
        </w:rPr>
        <w:t xml:space="preserve"> In 1986 it was amended to </w:t>
      </w:r>
      <w:proofErr w:type="gramStart"/>
      <w:r w:rsidR="00C5679D" w:rsidRPr="004334E1">
        <w:rPr>
          <w:rFonts w:ascii="Book Antiqua" w:hAnsi="Book Antiqua" w:cs="Arial"/>
        </w:rPr>
        <w:t>allow for</w:t>
      </w:r>
      <w:proofErr w:type="gramEnd"/>
      <w:r w:rsidR="00C5679D" w:rsidRPr="004334E1">
        <w:rPr>
          <w:rFonts w:ascii="Book Antiqua" w:hAnsi="Book Antiqua" w:cs="Arial"/>
        </w:rPr>
        <w:t xml:space="preserve"> private citizens to file a fraud and abuse claim as a qui tam relator. This allowed the </w:t>
      </w:r>
      <w:proofErr w:type="gramStart"/>
      <w:r w:rsidR="00C5679D" w:rsidRPr="004334E1">
        <w:rPr>
          <w:rFonts w:ascii="Book Antiqua" w:hAnsi="Book Antiqua" w:cs="Arial"/>
        </w:rPr>
        <w:t>citizen</w:t>
      </w:r>
      <w:proofErr w:type="gramEnd"/>
      <w:r w:rsidR="00C5679D" w:rsidRPr="004334E1">
        <w:rPr>
          <w:rFonts w:ascii="Book Antiqua" w:hAnsi="Book Antiqua" w:cs="Arial"/>
        </w:rPr>
        <w:t xml:space="preserve"> to be rewarded financially for doing so.</w:t>
      </w:r>
    </w:p>
    <w:p w14:paraId="7F08E6C5" w14:textId="77777777" w:rsidR="00C5679D" w:rsidRPr="004334E1" w:rsidRDefault="00C5679D">
      <w:pPr>
        <w:rPr>
          <w:rFonts w:ascii="Book Antiqua" w:hAnsi="Book Antiqua" w:cs="Arial"/>
          <w:i/>
          <w:color w:val="215868" w:themeColor="accent5" w:themeShade="80"/>
        </w:rPr>
      </w:pPr>
      <w:r w:rsidRPr="004334E1">
        <w:rPr>
          <w:rFonts w:ascii="Book Antiqua" w:hAnsi="Book Antiqua" w:cs="Arial"/>
          <w:i/>
          <w:color w:val="215868" w:themeColor="accent5" w:themeShade="80"/>
        </w:rPr>
        <w:t>The act prevents from:</w:t>
      </w:r>
    </w:p>
    <w:p w14:paraId="138A06CF" w14:textId="77777777" w:rsidR="0085482E" w:rsidRPr="004334E1" w:rsidRDefault="00C5679D" w:rsidP="006C0186">
      <w:pPr>
        <w:pStyle w:val="ListParagraph"/>
        <w:numPr>
          <w:ilvl w:val="0"/>
          <w:numId w:val="6"/>
        </w:numPr>
        <w:rPr>
          <w:rFonts w:ascii="Book Antiqua" w:hAnsi="Book Antiqua" w:cs="Arial"/>
        </w:rPr>
      </w:pPr>
      <w:r w:rsidRPr="004334E1">
        <w:rPr>
          <w:rFonts w:ascii="Book Antiqua" w:hAnsi="Book Antiqua" w:cs="Arial"/>
        </w:rPr>
        <w:t>Knowingly presenting or causing to be presented a false or fraudulent claim for payment</w:t>
      </w:r>
    </w:p>
    <w:p w14:paraId="3133F4C3" w14:textId="77777777" w:rsidR="0085482E" w:rsidRPr="004334E1" w:rsidRDefault="00C5679D" w:rsidP="006C0186">
      <w:pPr>
        <w:pStyle w:val="ListParagraph"/>
        <w:numPr>
          <w:ilvl w:val="0"/>
          <w:numId w:val="6"/>
        </w:numPr>
        <w:rPr>
          <w:rFonts w:ascii="Book Antiqua" w:hAnsi="Book Antiqua" w:cs="Arial"/>
        </w:rPr>
      </w:pPr>
      <w:r w:rsidRPr="004334E1">
        <w:rPr>
          <w:rFonts w:ascii="Book Antiqua" w:hAnsi="Book Antiqua" w:cs="Arial"/>
        </w:rPr>
        <w:t>Knowingly makes or uses or causes to be made or used</w:t>
      </w:r>
      <w:r w:rsidR="00A36499" w:rsidRPr="004334E1">
        <w:rPr>
          <w:rFonts w:ascii="Book Antiqua" w:hAnsi="Book Antiqua" w:cs="Arial"/>
        </w:rPr>
        <w:t>,</w:t>
      </w:r>
      <w:r w:rsidRPr="004334E1">
        <w:rPr>
          <w:rFonts w:ascii="Book Antiqua" w:hAnsi="Book Antiqua" w:cs="Arial"/>
        </w:rPr>
        <w:t xml:space="preserve"> a false record or statement of material to a false or fraudulent claim </w:t>
      </w:r>
    </w:p>
    <w:p w14:paraId="3141B435" w14:textId="77777777" w:rsidR="00C5679D" w:rsidRPr="004334E1" w:rsidRDefault="0085482E" w:rsidP="006C0186">
      <w:pPr>
        <w:pStyle w:val="ListParagraph"/>
        <w:numPr>
          <w:ilvl w:val="0"/>
          <w:numId w:val="6"/>
        </w:numPr>
        <w:rPr>
          <w:rFonts w:ascii="Book Antiqua" w:hAnsi="Book Antiqua" w:cs="Arial"/>
        </w:rPr>
      </w:pPr>
      <w:r w:rsidRPr="004334E1">
        <w:rPr>
          <w:rFonts w:ascii="Book Antiqua" w:hAnsi="Book Antiqua" w:cs="Arial"/>
        </w:rPr>
        <w:t>Conspiring</w:t>
      </w:r>
      <w:r w:rsidR="00C5679D" w:rsidRPr="004334E1">
        <w:rPr>
          <w:rFonts w:ascii="Book Antiqua" w:hAnsi="Book Antiqua" w:cs="Arial"/>
        </w:rPr>
        <w:t xml:space="preserve"> to commit a violation of any of the certain provisions of the False Claims Act</w:t>
      </w:r>
    </w:p>
    <w:p w14:paraId="40AB2727" w14:textId="77777777" w:rsidR="00C5679D" w:rsidRPr="004334E1" w:rsidRDefault="00C5679D" w:rsidP="00C5679D">
      <w:pPr>
        <w:rPr>
          <w:rFonts w:ascii="Book Antiqua" w:hAnsi="Book Antiqua" w:cs="Arial"/>
        </w:rPr>
      </w:pPr>
      <w:r w:rsidRPr="004334E1">
        <w:rPr>
          <w:rFonts w:ascii="Book Antiqua" w:hAnsi="Book Antiqua" w:cs="Arial"/>
        </w:rPr>
        <w:t>Penalties of n</w:t>
      </w:r>
      <w:r w:rsidR="00A36499" w:rsidRPr="004334E1">
        <w:rPr>
          <w:rFonts w:ascii="Book Antiqua" w:hAnsi="Book Antiqua" w:cs="Arial"/>
        </w:rPr>
        <w:t>ot less than $5,500 and not more</w:t>
      </w:r>
      <w:r w:rsidRPr="004334E1">
        <w:rPr>
          <w:rFonts w:ascii="Book Antiqua" w:hAnsi="Book Antiqua" w:cs="Arial"/>
        </w:rPr>
        <w:t xml:space="preserve"> than $11,000 per claim PLUS </w:t>
      </w:r>
      <w:r w:rsidR="00A36499" w:rsidRPr="004334E1">
        <w:rPr>
          <w:rFonts w:ascii="Book Antiqua" w:hAnsi="Book Antiqua" w:cs="Arial"/>
        </w:rPr>
        <w:t>treble</w:t>
      </w:r>
      <w:r w:rsidRPr="004334E1">
        <w:rPr>
          <w:rFonts w:ascii="Book Antiqua" w:hAnsi="Book Antiqua" w:cs="Arial"/>
        </w:rPr>
        <w:t xml:space="preserve"> damages </w:t>
      </w:r>
      <w:proofErr w:type="gramStart"/>
      <w:r w:rsidRPr="004334E1">
        <w:rPr>
          <w:rFonts w:ascii="Book Antiqua" w:hAnsi="Book Antiqua" w:cs="Arial"/>
        </w:rPr>
        <w:t>for the amount of</w:t>
      </w:r>
      <w:proofErr w:type="gramEnd"/>
      <w:r w:rsidRPr="004334E1">
        <w:rPr>
          <w:rFonts w:ascii="Book Antiqua" w:hAnsi="Book Antiqua" w:cs="Arial"/>
        </w:rPr>
        <w:t xml:space="preserve"> </w:t>
      </w:r>
      <w:proofErr w:type="gramStart"/>
      <w:r w:rsidRPr="004334E1">
        <w:rPr>
          <w:rFonts w:ascii="Book Antiqua" w:hAnsi="Book Antiqua" w:cs="Arial"/>
        </w:rPr>
        <w:t>damages</w:t>
      </w:r>
      <w:proofErr w:type="gramEnd"/>
      <w:r w:rsidRPr="004334E1">
        <w:rPr>
          <w:rFonts w:ascii="Book Antiqua" w:hAnsi="Book Antiqua" w:cs="Arial"/>
        </w:rPr>
        <w:t xml:space="preserve"> the government sustains.</w:t>
      </w:r>
    </w:p>
    <w:p w14:paraId="0109CB1A" w14:textId="77777777" w:rsidR="00C5679D" w:rsidRPr="004334E1" w:rsidRDefault="00C5679D" w:rsidP="00C5679D">
      <w:pPr>
        <w:rPr>
          <w:rFonts w:ascii="Book Antiqua" w:hAnsi="Book Antiqua" w:cs="Arial"/>
          <w:color w:val="215868" w:themeColor="accent5" w:themeShade="80"/>
        </w:rPr>
      </w:pPr>
      <w:r w:rsidRPr="004334E1">
        <w:rPr>
          <w:rFonts w:ascii="Book Antiqua" w:hAnsi="Book Antiqua" w:cs="Arial"/>
          <w:color w:val="215868" w:themeColor="accent5" w:themeShade="80"/>
        </w:rPr>
        <w:t>Anti-Kickback Statute</w:t>
      </w:r>
      <w:r w:rsidR="003F0ADD" w:rsidRPr="004334E1">
        <w:rPr>
          <w:rFonts w:ascii="Book Antiqua" w:hAnsi="Book Antiqua" w:cs="Arial"/>
          <w:color w:val="215868" w:themeColor="accent5" w:themeShade="80"/>
        </w:rPr>
        <w:t xml:space="preserve"> (AKS)</w:t>
      </w:r>
      <w:r w:rsidRPr="004334E1">
        <w:rPr>
          <w:rFonts w:ascii="Book Antiqua" w:hAnsi="Book Antiqua" w:cs="Arial"/>
          <w:color w:val="215868" w:themeColor="accent5" w:themeShade="80"/>
        </w:rPr>
        <w:t>:</w:t>
      </w:r>
    </w:p>
    <w:p w14:paraId="6FC1664E" w14:textId="77777777" w:rsidR="00C5679D" w:rsidRPr="004334E1" w:rsidRDefault="00C5679D" w:rsidP="00C5679D">
      <w:pPr>
        <w:rPr>
          <w:rFonts w:ascii="Book Antiqua" w:hAnsi="Book Antiqua" w:cs="Arial"/>
        </w:rPr>
      </w:pPr>
      <w:r w:rsidRPr="004334E1">
        <w:rPr>
          <w:rFonts w:ascii="Book Antiqua" w:hAnsi="Book Antiqua" w:cs="Arial"/>
        </w:rPr>
        <w:t>This rule prohibits an individual or entity from knowingly and willfully offering</w:t>
      </w:r>
      <w:r w:rsidR="00A36499" w:rsidRPr="004334E1">
        <w:rPr>
          <w:rFonts w:ascii="Book Antiqua" w:hAnsi="Book Antiqua" w:cs="Arial"/>
        </w:rPr>
        <w:t>,</w:t>
      </w:r>
      <w:r w:rsidRPr="004334E1">
        <w:rPr>
          <w:rFonts w:ascii="Book Antiqua" w:hAnsi="Book Antiqua" w:cs="Arial"/>
        </w:rPr>
        <w:t xml:space="preserve"> paying</w:t>
      </w:r>
      <w:r w:rsidR="00A36499" w:rsidRPr="004334E1">
        <w:rPr>
          <w:rFonts w:ascii="Book Antiqua" w:hAnsi="Book Antiqua" w:cs="Arial"/>
        </w:rPr>
        <w:t>,</w:t>
      </w:r>
      <w:r w:rsidRPr="004334E1">
        <w:rPr>
          <w:rFonts w:ascii="Book Antiqua" w:hAnsi="Book Antiqua" w:cs="Arial"/>
        </w:rPr>
        <w:t xml:space="preserve"> soliciting or receiving remuneration to induce referrals of items or services covered by Medicare and Medicaid</w:t>
      </w:r>
      <w:r w:rsidR="00E43312" w:rsidRPr="004334E1">
        <w:rPr>
          <w:rFonts w:ascii="Book Antiqua" w:hAnsi="Book Antiqua" w:cs="Arial"/>
        </w:rPr>
        <w:t xml:space="preserve">, </w:t>
      </w:r>
      <w:r w:rsidRPr="004334E1">
        <w:rPr>
          <w:rFonts w:ascii="Book Antiqua" w:hAnsi="Book Antiqua" w:cs="Arial"/>
        </w:rPr>
        <w:t>(</w:t>
      </w:r>
      <w:r w:rsidR="00E43312" w:rsidRPr="004334E1">
        <w:rPr>
          <w:rFonts w:ascii="Book Antiqua" w:hAnsi="Book Antiqua" w:cs="Arial"/>
        </w:rPr>
        <w:t xml:space="preserve">this includes </w:t>
      </w:r>
      <w:r w:rsidRPr="004334E1">
        <w:rPr>
          <w:rFonts w:ascii="Book Antiqua" w:hAnsi="Book Antiqua" w:cs="Arial"/>
        </w:rPr>
        <w:t>inducements to order, purchase or lease or recommend for purchase lease or order</w:t>
      </w:r>
      <w:r w:rsidR="00A36499" w:rsidRPr="004334E1">
        <w:rPr>
          <w:rFonts w:ascii="Book Antiqua" w:hAnsi="Book Antiqua" w:cs="Arial"/>
        </w:rPr>
        <w:t>)</w:t>
      </w:r>
      <w:r w:rsidR="00E43312" w:rsidRPr="004334E1">
        <w:rPr>
          <w:rFonts w:ascii="Book Antiqua" w:hAnsi="Book Antiqua" w:cs="Arial"/>
        </w:rPr>
        <w:t>.</w:t>
      </w:r>
    </w:p>
    <w:p w14:paraId="1B4DB6E2" w14:textId="491232C3" w:rsidR="008F67F5" w:rsidRPr="004334E1" w:rsidRDefault="00A07CFA" w:rsidP="00C5679D">
      <w:pPr>
        <w:rPr>
          <w:rFonts w:ascii="Book Antiqua" w:hAnsi="Book Antiqua" w:cs="Arial"/>
          <w:color w:val="215868" w:themeColor="accent5" w:themeShade="80"/>
        </w:rPr>
      </w:pPr>
      <w:r w:rsidRPr="004334E1">
        <w:rPr>
          <w:rFonts w:ascii="Book Antiqua" w:hAnsi="Book Antiqua" w:cs="Arial"/>
        </w:rPr>
        <w:t>Both sides of the impermissible act are held criminally liable.</w:t>
      </w:r>
      <w:r w:rsidR="00F77A04" w:rsidRPr="004334E1">
        <w:rPr>
          <w:rFonts w:ascii="Book Antiqua" w:hAnsi="Book Antiqua" w:cs="Arial"/>
        </w:rPr>
        <w:t xml:space="preserve"> Board members who conduct business or are engage</w:t>
      </w:r>
      <w:r w:rsidR="00043A66" w:rsidRPr="004334E1">
        <w:rPr>
          <w:rFonts w:ascii="Book Antiqua" w:hAnsi="Book Antiqua" w:cs="Arial"/>
        </w:rPr>
        <w:t>d in negotiations with a vendor</w:t>
      </w:r>
      <w:r w:rsidR="00F77A04" w:rsidRPr="004334E1">
        <w:rPr>
          <w:rFonts w:ascii="Book Antiqua" w:hAnsi="Book Antiqua" w:cs="Arial"/>
        </w:rPr>
        <w:t>/contr</w:t>
      </w:r>
      <w:r w:rsidR="00A36499" w:rsidRPr="004334E1">
        <w:rPr>
          <w:rFonts w:ascii="Book Antiqua" w:hAnsi="Book Antiqua" w:cs="Arial"/>
        </w:rPr>
        <w:t>actor on behalf of the provider,</w:t>
      </w:r>
      <w:r w:rsidR="00F77A04" w:rsidRPr="004334E1">
        <w:rPr>
          <w:rFonts w:ascii="Book Antiqua" w:hAnsi="Book Antiqua" w:cs="Arial"/>
        </w:rPr>
        <w:t xml:space="preserve"> with a Medicare Provider</w:t>
      </w:r>
      <w:r w:rsidR="00A36499" w:rsidRPr="004334E1">
        <w:rPr>
          <w:rFonts w:ascii="Book Antiqua" w:hAnsi="Book Antiqua" w:cs="Arial"/>
        </w:rPr>
        <w:t>,</w:t>
      </w:r>
      <w:r w:rsidR="00F77A04" w:rsidRPr="004334E1">
        <w:rPr>
          <w:rFonts w:ascii="Book Antiqua" w:hAnsi="Book Antiqua" w:cs="Arial"/>
        </w:rPr>
        <w:t xml:space="preserve"> can be subject to sanction under the AKS if the transaction involved is in violation.</w:t>
      </w:r>
    </w:p>
    <w:p w14:paraId="141F263A" w14:textId="2138CE43" w:rsidR="00A07CFA" w:rsidRPr="004334E1" w:rsidRDefault="00A07CFA" w:rsidP="00C5679D">
      <w:pPr>
        <w:rPr>
          <w:rFonts w:ascii="Book Antiqua" w:hAnsi="Book Antiqua" w:cs="Arial"/>
          <w:color w:val="215868" w:themeColor="accent5" w:themeShade="80"/>
        </w:rPr>
      </w:pPr>
      <w:r w:rsidRPr="004334E1">
        <w:rPr>
          <w:rFonts w:ascii="Book Antiqua" w:hAnsi="Book Antiqua" w:cs="Arial"/>
          <w:color w:val="215868" w:themeColor="accent5" w:themeShade="80"/>
        </w:rPr>
        <w:t>Stark or P</w:t>
      </w:r>
      <w:r w:rsidR="00295DD9" w:rsidRPr="004334E1">
        <w:rPr>
          <w:rFonts w:ascii="Book Antiqua" w:hAnsi="Book Antiqua" w:cs="Arial"/>
          <w:color w:val="215868" w:themeColor="accent5" w:themeShade="80"/>
        </w:rPr>
        <w:t>hysician Self-</w:t>
      </w:r>
      <w:r w:rsidRPr="004334E1">
        <w:rPr>
          <w:rFonts w:ascii="Book Antiqua" w:hAnsi="Book Antiqua" w:cs="Arial"/>
          <w:color w:val="215868" w:themeColor="accent5" w:themeShade="80"/>
        </w:rPr>
        <w:t>Referral Statute:</w:t>
      </w:r>
    </w:p>
    <w:p w14:paraId="0A0A4462" w14:textId="77777777" w:rsidR="00A07CFA" w:rsidRPr="004334E1" w:rsidRDefault="00A07CFA" w:rsidP="00C5679D">
      <w:pPr>
        <w:rPr>
          <w:rFonts w:ascii="Book Antiqua" w:hAnsi="Book Antiqua" w:cs="Arial"/>
        </w:rPr>
      </w:pPr>
      <w:r w:rsidRPr="004334E1">
        <w:rPr>
          <w:rFonts w:ascii="Book Antiqua" w:hAnsi="Book Antiqua" w:cs="Arial"/>
        </w:rPr>
        <w:t>Th</w:t>
      </w:r>
      <w:r w:rsidR="00A36499" w:rsidRPr="004334E1">
        <w:rPr>
          <w:rFonts w:ascii="Book Antiqua" w:hAnsi="Book Antiqua" w:cs="Arial"/>
        </w:rPr>
        <w:t>is rule prohibits a physician f</w:t>
      </w:r>
      <w:r w:rsidRPr="004334E1">
        <w:rPr>
          <w:rFonts w:ascii="Book Antiqua" w:hAnsi="Book Antiqua" w:cs="Arial"/>
        </w:rPr>
        <w:t>r</w:t>
      </w:r>
      <w:r w:rsidR="00A36499" w:rsidRPr="004334E1">
        <w:rPr>
          <w:rFonts w:ascii="Book Antiqua" w:hAnsi="Book Antiqua" w:cs="Arial"/>
        </w:rPr>
        <w:t>o</w:t>
      </w:r>
      <w:r w:rsidRPr="004334E1">
        <w:rPr>
          <w:rFonts w:ascii="Book Antiqua" w:hAnsi="Book Antiqua" w:cs="Arial"/>
        </w:rPr>
        <w:t xml:space="preserve">m referring a patient to an entity with which the physician or an immediate family member has a financial relationship unless specific exceptions apply. </w:t>
      </w:r>
    </w:p>
    <w:p w14:paraId="46EE17C0" w14:textId="77777777" w:rsidR="006C0186" w:rsidRPr="004334E1" w:rsidRDefault="00A07CFA" w:rsidP="00C5679D">
      <w:pPr>
        <w:rPr>
          <w:rFonts w:ascii="Book Antiqua" w:hAnsi="Book Antiqua" w:cs="Arial"/>
        </w:rPr>
      </w:pPr>
      <w:r w:rsidRPr="004334E1">
        <w:rPr>
          <w:rFonts w:ascii="Book Antiqua" w:hAnsi="Book Antiqua" w:cs="Arial"/>
        </w:rPr>
        <w:t xml:space="preserve">The Stark Statute is a civil </w:t>
      </w:r>
      <w:r w:rsidR="00A36499" w:rsidRPr="004334E1">
        <w:rPr>
          <w:rFonts w:ascii="Book Antiqua" w:hAnsi="Book Antiqua" w:cs="Arial"/>
        </w:rPr>
        <w:t>statute;</w:t>
      </w:r>
      <w:r w:rsidRPr="004334E1">
        <w:rPr>
          <w:rFonts w:ascii="Book Antiqua" w:hAnsi="Book Antiqua" w:cs="Arial"/>
        </w:rPr>
        <w:t xml:space="preserve"> </w:t>
      </w:r>
      <w:proofErr w:type="gramStart"/>
      <w:r w:rsidRPr="004334E1">
        <w:rPr>
          <w:rFonts w:ascii="Book Antiqua" w:hAnsi="Book Antiqua" w:cs="Arial"/>
        </w:rPr>
        <w:t>therefore</w:t>
      </w:r>
      <w:proofErr w:type="gramEnd"/>
      <w:r w:rsidRPr="004334E1">
        <w:rPr>
          <w:rFonts w:ascii="Book Antiqua" w:hAnsi="Book Antiqua" w:cs="Arial"/>
        </w:rPr>
        <w:t xml:space="preserve"> </w:t>
      </w:r>
      <w:r w:rsidR="00A36499" w:rsidRPr="004334E1">
        <w:rPr>
          <w:rFonts w:ascii="Book Antiqua" w:hAnsi="Book Antiqua" w:cs="Arial"/>
        </w:rPr>
        <w:t xml:space="preserve">there can be </w:t>
      </w:r>
      <w:r w:rsidRPr="004334E1">
        <w:rPr>
          <w:rFonts w:ascii="Book Antiqua" w:hAnsi="Book Antiqua" w:cs="Arial"/>
        </w:rPr>
        <w:t>Civil Money Penalties</w:t>
      </w:r>
      <w:r w:rsidR="00D24416" w:rsidRPr="004334E1">
        <w:rPr>
          <w:rFonts w:ascii="Book Antiqua" w:hAnsi="Book Antiqua" w:cs="Arial"/>
        </w:rPr>
        <w:t xml:space="preserve"> involved. </w:t>
      </w:r>
    </w:p>
    <w:p w14:paraId="37120AC6" w14:textId="77777777" w:rsidR="00F77A04" w:rsidRPr="004334E1" w:rsidRDefault="00F77A04" w:rsidP="00C5679D">
      <w:pPr>
        <w:rPr>
          <w:rFonts w:ascii="Book Antiqua" w:hAnsi="Book Antiqua" w:cs="Arial"/>
          <w:color w:val="215868" w:themeColor="accent5" w:themeShade="80"/>
        </w:rPr>
      </w:pPr>
      <w:r w:rsidRPr="004334E1">
        <w:rPr>
          <w:rFonts w:ascii="Book Antiqua" w:hAnsi="Book Antiqua" w:cs="Arial"/>
          <w:color w:val="215868" w:themeColor="accent5" w:themeShade="80"/>
        </w:rPr>
        <w:t>Sarbanes-Oxley:</w:t>
      </w:r>
    </w:p>
    <w:p w14:paraId="4A342898" w14:textId="77777777" w:rsidR="00F77A04" w:rsidRPr="004334E1" w:rsidRDefault="00A55602" w:rsidP="00C5679D">
      <w:pPr>
        <w:rPr>
          <w:rFonts w:ascii="Book Antiqua" w:hAnsi="Book Antiqua" w:cs="Arial"/>
        </w:rPr>
      </w:pPr>
      <w:r w:rsidRPr="004334E1">
        <w:rPr>
          <w:rFonts w:ascii="Book Antiqua" w:hAnsi="Book Antiqua" w:cs="Arial"/>
        </w:rPr>
        <w:t>Prohibits retaliation against a whistleblower and prohibits destruction, alteration or concealment of documents or impeding the investigators. It focuses on auditing and reporting/disclosure of the results.</w:t>
      </w:r>
    </w:p>
    <w:p w14:paraId="4E0620D1" w14:textId="77777777" w:rsidR="006C0186" w:rsidRPr="004334E1" w:rsidRDefault="00A55602" w:rsidP="00C5679D">
      <w:pPr>
        <w:rPr>
          <w:rFonts w:ascii="Book Antiqua" w:hAnsi="Book Antiqua" w:cs="Arial"/>
          <w:color w:val="215868" w:themeColor="accent5" w:themeShade="80"/>
        </w:rPr>
      </w:pPr>
      <w:r w:rsidRPr="004334E1">
        <w:rPr>
          <w:rFonts w:ascii="Book Antiqua" w:hAnsi="Book Antiqua" w:cs="Arial"/>
          <w:color w:val="215868" w:themeColor="accent5" w:themeShade="80"/>
        </w:rPr>
        <w:lastRenderedPageBreak/>
        <w:t xml:space="preserve">HIPAA: </w:t>
      </w:r>
    </w:p>
    <w:p w14:paraId="5C25C458" w14:textId="77777777" w:rsidR="00A36499" w:rsidRPr="004334E1" w:rsidRDefault="00CA491F" w:rsidP="00C5679D">
      <w:pPr>
        <w:rPr>
          <w:rFonts w:ascii="Book Antiqua" w:hAnsi="Book Antiqua" w:cs="Arial"/>
        </w:rPr>
      </w:pPr>
      <w:r w:rsidRPr="004334E1">
        <w:rPr>
          <w:rFonts w:ascii="Book Antiqua" w:hAnsi="Book Antiqua" w:cs="Arial"/>
        </w:rPr>
        <w:t xml:space="preserve">This act </w:t>
      </w:r>
      <w:proofErr w:type="gramStart"/>
      <w:r w:rsidRPr="004334E1">
        <w:rPr>
          <w:rFonts w:ascii="Book Antiqua" w:hAnsi="Book Antiqua" w:cs="Arial"/>
        </w:rPr>
        <w:t>set</w:t>
      </w:r>
      <w:proofErr w:type="gramEnd"/>
      <w:r w:rsidRPr="004334E1">
        <w:rPr>
          <w:rFonts w:ascii="Book Antiqua" w:hAnsi="Book Antiqua" w:cs="Arial"/>
        </w:rPr>
        <w:t xml:space="preserve"> standards for privacy and security of health information (paper, electronic and verbal). </w:t>
      </w:r>
      <w:r w:rsidR="00A36499" w:rsidRPr="004334E1">
        <w:rPr>
          <w:rFonts w:ascii="Book Antiqua" w:hAnsi="Book Antiqua" w:cs="Arial"/>
        </w:rPr>
        <w:t>Civil and criminal p</w:t>
      </w:r>
      <w:r w:rsidRPr="004334E1">
        <w:rPr>
          <w:rFonts w:ascii="Book Antiqua" w:hAnsi="Book Antiqua" w:cs="Arial"/>
        </w:rPr>
        <w:t>enalties</w:t>
      </w:r>
      <w:r w:rsidR="00A36499" w:rsidRPr="004334E1">
        <w:rPr>
          <w:rFonts w:ascii="Book Antiqua" w:hAnsi="Book Antiqua" w:cs="Arial"/>
        </w:rPr>
        <w:t xml:space="preserve"> for violations exist.</w:t>
      </w:r>
    </w:p>
    <w:p w14:paraId="2FEA5CAE" w14:textId="77777777" w:rsidR="00A55602" w:rsidRPr="004334E1" w:rsidRDefault="00CA491F" w:rsidP="00C5679D">
      <w:pPr>
        <w:rPr>
          <w:rFonts w:ascii="Book Antiqua" w:hAnsi="Book Antiqua" w:cs="Arial"/>
          <w:b/>
        </w:rPr>
      </w:pPr>
      <w:r w:rsidRPr="004334E1">
        <w:rPr>
          <w:rFonts w:ascii="Book Antiqua" w:hAnsi="Book Antiqua" w:cs="Arial"/>
        </w:rPr>
        <w:t>Under this act, a newer provision requires mandated Breach Investigation and Reporting. The reporting has very specific time frames and requirements including (for breaches of over 500 individuals) notifying a prominent new</w:t>
      </w:r>
      <w:r w:rsidR="00A36499" w:rsidRPr="004334E1">
        <w:rPr>
          <w:rFonts w:ascii="Book Antiqua" w:hAnsi="Book Antiqua" w:cs="Arial"/>
        </w:rPr>
        <w:t>s</w:t>
      </w:r>
      <w:r w:rsidRPr="004334E1">
        <w:rPr>
          <w:rFonts w:ascii="Book Antiqua" w:hAnsi="Book Antiqua" w:cs="Arial"/>
        </w:rPr>
        <w:t xml:space="preserve"> media outlet.</w:t>
      </w:r>
    </w:p>
    <w:p w14:paraId="4CF24A97" w14:textId="77777777" w:rsidR="00CA491F" w:rsidRPr="004334E1" w:rsidRDefault="00CA491F" w:rsidP="00CA491F">
      <w:pPr>
        <w:rPr>
          <w:rFonts w:ascii="Book Antiqua" w:hAnsi="Book Antiqua" w:cs="Arial"/>
          <w:color w:val="215868" w:themeColor="accent5" w:themeShade="80"/>
        </w:rPr>
      </w:pPr>
      <w:r w:rsidRPr="004334E1">
        <w:rPr>
          <w:rFonts w:ascii="Book Antiqua" w:hAnsi="Book Antiqua" w:cs="Arial"/>
          <w:color w:val="215868" w:themeColor="accent5" w:themeShade="80"/>
        </w:rPr>
        <w:t>Other Acts and Laws that affect Boards:</w:t>
      </w:r>
    </w:p>
    <w:p w14:paraId="0624525C" w14:textId="77777777" w:rsidR="00CA491F" w:rsidRPr="004334E1" w:rsidRDefault="00CA491F" w:rsidP="003F2C02">
      <w:pPr>
        <w:pStyle w:val="ListParagraph"/>
        <w:numPr>
          <w:ilvl w:val="0"/>
          <w:numId w:val="7"/>
        </w:numPr>
        <w:rPr>
          <w:rFonts w:ascii="Book Antiqua" w:hAnsi="Book Antiqua" w:cs="Arial"/>
        </w:rPr>
      </w:pPr>
      <w:r w:rsidRPr="004334E1">
        <w:rPr>
          <w:rFonts w:ascii="Book Antiqua" w:hAnsi="Book Antiqua" w:cs="Arial"/>
          <w:b/>
        </w:rPr>
        <w:t>Elder Justice Act</w:t>
      </w:r>
      <w:r w:rsidR="008A29C9" w:rsidRPr="004334E1">
        <w:rPr>
          <w:rFonts w:ascii="Book Antiqua" w:hAnsi="Book Antiqua" w:cs="Arial"/>
          <w:b/>
        </w:rPr>
        <w:t xml:space="preserve"> (EJA)</w:t>
      </w:r>
      <w:r w:rsidRPr="004334E1">
        <w:rPr>
          <w:rFonts w:ascii="Book Antiqua" w:hAnsi="Book Antiqua" w:cs="Arial"/>
          <w:b/>
        </w:rPr>
        <w:t>:</w:t>
      </w:r>
      <w:r w:rsidRPr="004334E1">
        <w:rPr>
          <w:rFonts w:ascii="Book Antiqua" w:hAnsi="Book Antiqua" w:cs="Arial"/>
        </w:rPr>
        <w:t xml:space="preserve"> Requires individuals to report any reasonable suspicion of a crime committed against a </w:t>
      </w:r>
      <w:proofErr w:type="gramStart"/>
      <w:r w:rsidRPr="004334E1">
        <w:rPr>
          <w:rFonts w:ascii="Book Antiqua" w:hAnsi="Book Antiqua" w:cs="Arial"/>
        </w:rPr>
        <w:t>long term</w:t>
      </w:r>
      <w:proofErr w:type="gramEnd"/>
      <w:r w:rsidRPr="004334E1">
        <w:rPr>
          <w:rFonts w:ascii="Book Antiqua" w:hAnsi="Book Antiqua" w:cs="Arial"/>
        </w:rPr>
        <w:t xml:space="preserve"> care resident to both the Dept. of Health</w:t>
      </w:r>
      <w:r w:rsidR="001116F7" w:rsidRPr="004334E1">
        <w:rPr>
          <w:rFonts w:ascii="Book Antiqua" w:hAnsi="Book Antiqua" w:cs="Arial"/>
        </w:rPr>
        <w:t xml:space="preserve"> and local law enforcement with</w:t>
      </w:r>
      <w:r w:rsidRPr="004334E1">
        <w:rPr>
          <w:rFonts w:ascii="Book Antiqua" w:hAnsi="Book Antiqua" w:cs="Arial"/>
        </w:rPr>
        <w:t xml:space="preserve">in 2 hours if </w:t>
      </w:r>
      <w:proofErr w:type="gramStart"/>
      <w:r w:rsidRPr="004334E1">
        <w:rPr>
          <w:rFonts w:ascii="Book Antiqua" w:hAnsi="Book Antiqua" w:cs="Arial"/>
        </w:rPr>
        <w:t>seri</w:t>
      </w:r>
      <w:r w:rsidR="003F2C02" w:rsidRPr="004334E1">
        <w:rPr>
          <w:rFonts w:ascii="Book Antiqua" w:hAnsi="Book Antiqua" w:cs="Arial"/>
        </w:rPr>
        <w:t>ous</w:t>
      </w:r>
      <w:proofErr w:type="gramEnd"/>
      <w:r w:rsidR="003F2C02" w:rsidRPr="004334E1">
        <w:rPr>
          <w:rFonts w:ascii="Book Antiqua" w:hAnsi="Book Antiqua" w:cs="Arial"/>
        </w:rPr>
        <w:t xml:space="preserve"> bodily injury or within 24 </w:t>
      </w:r>
      <w:r w:rsidRPr="004334E1">
        <w:rPr>
          <w:rFonts w:ascii="Book Antiqua" w:hAnsi="Book Antiqua" w:cs="Arial"/>
        </w:rPr>
        <w:t>hours if not.</w:t>
      </w:r>
    </w:p>
    <w:p w14:paraId="3A783C2F" w14:textId="77777777" w:rsidR="006F1DF2" w:rsidRPr="004334E1" w:rsidRDefault="00CA491F" w:rsidP="003F2C02">
      <w:pPr>
        <w:pStyle w:val="ListParagraph"/>
        <w:numPr>
          <w:ilvl w:val="0"/>
          <w:numId w:val="7"/>
        </w:numPr>
        <w:rPr>
          <w:rFonts w:ascii="Book Antiqua" w:hAnsi="Book Antiqua" w:cs="Arial"/>
        </w:rPr>
      </w:pPr>
      <w:r w:rsidRPr="004334E1">
        <w:rPr>
          <w:rFonts w:ascii="Book Antiqua" w:hAnsi="Book Antiqua" w:cs="Arial"/>
          <w:b/>
        </w:rPr>
        <w:t>Affordable Care Act</w:t>
      </w:r>
      <w:r w:rsidR="008A29C9" w:rsidRPr="004334E1">
        <w:rPr>
          <w:rFonts w:ascii="Book Antiqua" w:hAnsi="Book Antiqua" w:cs="Arial"/>
          <w:b/>
        </w:rPr>
        <w:t xml:space="preserve"> (ACA)</w:t>
      </w:r>
      <w:r w:rsidRPr="004334E1">
        <w:rPr>
          <w:rFonts w:ascii="Book Antiqua" w:hAnsi="Book Antiqua" w:cs="Arial"/>
          <w:b/>
        </w:rPr>
        <w:t>:</w:t>
      </w:r>
      <w:r w:rsidRPr="004334E1">
        <w:rPr>
          <w:rFonts w:ascii="Book Antiqua" w:hAnsi="Book Antiqua" w:cs="Arial"/>
          <w:color w:val="215868" w:themeColor="accent5" w:themeShade="80"/>
        </w:rPr>
        <w:t xml:space="preserve"> </w:t>
      </w:r>
      <w:r w:rsidR="008048AC" w:rsidRPr="004334E1">
        <w:rPr>
          <w:rFonts w:ascii="Book Antiqua" w:hAnsi="Book Antiqua" w:cs="Arial"/>
        </w:rPr>
        <w:t>The act requires new provisions requiring nursing</w:t>
      </w:r>
      <w:r w:rsidR="008A29C9" w:rsidRPr="004334E1">
        <w:rPr>
          <w:rFonts w:ascii="Book Antiqua" w:hAnsi="Book Antiqua" w:cs="Arial"/>
        </w:rPr>
        <w:t xml:space="preserve"> homes to provide information about</w:t>
      </w:r>
      <w:r w:rsidR="008048AC" w:rsidRPr="004334E1">
        <w:rPr>
          <w:rFonts w:ascii="Book Antiqua" w:hAnsi="Book Antiqua" w:cs="Arial"/>
        </w:rPr>
        <w:t xml:space="preserve"> their board members, managing employees, officers and directors whenever there is a change in information, if the provider undergoes a change in management </w:t>
      </w:r>
      <w:r w:rsidR="008048AC" w:rsidRPr="004334E1">
        <w:rPr>
          <w:rFonts w:ascii="Book Antiqua" w:hAnsi="Book Antiqua" w:cs="Arial"/>
          <w:u w:val="single"/>
        </w:rPr>
        <w:t>and</w:t>
      </w:r>
      <w:r w:rsidR="006F1DF2" w:rsidRPr="004334E1">
        <w:rPr>
          <w:rFonts w:ascii="Book Antiqua" w:hAnsi="Book Antiqua" w:cs="Arial"/>
        </w:rPr>
        <w:t xml:space="preserve"> every five years. </w:t>
      </w:r>
    </w:p>
    <w:p w14:paraId="31A9A9B9" w14:textId="77777777" w:rsidR="00997F53" w:rsidRPr="004334E1" w:rsidRDefault="00CA491F" w:rsidP="00CA491F">
      <w:pPr>
        <w:pStyle w:val="ListParagraph"/>
        <w:numPr>
          <w:ilvl w:val="0"/>
          <w:numId w:val="7"/>
        </w:numPr>
        <w:rPr>
          <w:rFonts w:ascii="Book Antiqua" w:hAnsi="Book Antiqua" w:cs="Arial"/>
        </w:rPr>
      </w:pPr>
      <w:r w:rsidRPr="004334E1">
        <w:rPr>
          <w:rFonts w:ascii="Book Antiqua" w:hAnsi="Book Antiqua" w:cs="Arial"/>
          <w:b/>
        </w:rPr>
        <w:t>Exclusion Requirements:</w:t>
      </w:r>
      <w:r w:rsidRPr="004334E1">
        <w:rPr>
          <w:rFonts w:ascii="Book Antiqua" w:hAnsi="Book Antiqua" w:cs="Arial"/>
          <w:color w:val="215868" w:themeColor="accent5" w:themeShade="80"/>
        </w:rPr>
        <w:t xml:space="preserve"> </w:t>
      </w:r>
      <w:r w:rsidRPr="004334E1">
        <w:rPr>
          <w:rFonts w:ascii="Book Antiqua" w:hAnsi="Book Antiqua" w:cs="Arial"/>
        </w:rPr>
        <w:t>Federal law prohibits a Medicare/Medicaid provider from employing or contracting with any individual or entity that is excluded from the Medicare or Medicaid programs.</w:t>
      </w:r>
    </w:p>
    <w:p w14:paraId="54E0DF18" w14:textId="77777777" w:rsidR="00997F53" w:rsidRPr="004334E1" w:rsidRDefault="00C531ED" w:rsidP="008C5D18">
      <w:pPr>
        <w:ind w:left="360"/>
        <w:rPr>
          <w:rFonts w:ascii="Book Antiqua" w:hAnsi="Book Antiqua" w:cs="Arial"/>
        </w:rPr>
      </w:pPr>
      <w:r w:rsidRPr="004334E1">
        <w:rPr>
          <w:rFonts w:ascii="Book Antiqua" w:hAnsi="Book Antiqua" w:cs="Arial"/>
        </w:rPr>
        <w:t>While Board member</w:t>
      </w:r>
      <w:r w:rsidR="00640235" w:rsidRPr="004334E1">
        <w:rPr>
          <w:rFonts w:ascii="Book Antiqua" w:hAnsi="Book Antiqua" w:cs="Arial"/>
        </w:rPr>
        <w:t>s may not be employees, they</w:t>
      </w:r>
      <w:r w:rsidR="006F1DF2" w:rsidRPr="004334E1">
        <w:rPr>
          <w:rFonts w:ascii="Book Antiqua" w:hAnsi="Book Antiqua" w:cs="Arial"/>
        </w:rPr>
        <w:t xml:space="preserve"> are volunteers who</w:t>
      </w:r>
      <w:r w:rsidRPr="004334E1">
        <w:rPr>
          <w:rFonts w:ascii="Book Antiqua" w:hAnsi="Book Antiqua" w:cs="Arial"/>
        </w:rPr>
        <w:t xml:space="preserve"> have a level of control over the provider. The OIG has recommended that volunteers be screened as well.</w:t>
      </w:r>
    </w:p>
    <w:p w14:paraId="51DB8119" w14:textId="77777777" w:rsidR="00C531ED" w:rsidRPr="004334E1" w:rsidRDefault="00C531ED" w:rsidP="00997F53">
      <w:pPr>
        <w:pStyle w:val="ListParagraph"/>
        <w:numPr>
          <w:ilvl w:val="0"/>
          <w:numId w:val="8"/>
        </w:numPr>
        <w:rPr>
          <w:rFonts w:ascii="Book Antiqua" w:hAnsi="Book Antiqua" w:cs="Arial"/>
        </w:rPr>
      </w:pPr>
      <w:r w:rsidRPr="004334E1">
        <w:rPr>
          <w:rFonts w:ascii="Book Antiqua" w:hAnsi="Book Antiqua" w:cs="Arial"/>
          <w:b/>
        </w:rPr>
        <w:t>990 IRS Provisions</w:t>
      </w:r>
      <w:r w:rsidR="009E1960" w:rsidRPr="004334E1">
        <w:rPr>
          <w:rFonts w:ascii="Book Antiqua" w:hAnsi="Book Antiqua" w:cs="Arial"/>
          <w:b/>
        </w:rPr>
        <w:t xml:space="preserve"> of 2008</w:t>
      </w:r>
      <w:r w:rsidRPr="004334E1">
        <w:rPr>
          <w:rFonts w:ascii="Book Antiqua" w:hAnsi="Book Antiqua" w:cs="Arial"/>
          <w:b/>
        </w:rPr>
        <w:t xml:space="preserve">: </w:t>
      </w:r>
      <w:r w:rsidR="00CC4031" w:rsidRPr="004334E1">
        <w:rPr>
          <w:rFonts w:ascii="Book Antiqua" w:hAnsi="Book Antiqua" w:cs="Arial"/>
        </w:rPr>
        <w:t xml:space="preserve">This redesigned form dramatically increased focus on the corporate governance of charitable </w:t>
      </w:r>
      <w:proofErr w:type="gramStart"/>
      <w:r w:rsidR="00CC4031" w:rsidRPr="004334E1">
        <w:rPr>
          <w:rFonts w:ascii="Book Antiqua" w:hAnsi="Book Antiqua" w:cs="Arial"/>
        </w:rPr>
        <w:t>tax exempt</w:t>
      </w:r>
      <w:proofErr w:type="gramEnd"/>
      <w:r w:rsidR="00CC4031" w:rsidRPr="004334E1">
        <w:rPr>
          <w:rFonts w:ascii="Book Antiqua" w:hAnsi="Book Antiqua" w:cs="Arial"/>
        </w:rPr>
        <w:t xml:space="preserve"> organizations.</w:t>
      </w:r>
      <w:r w:rsidR="00CC4031" w:rsidRPr="004334E1">
        <w:rPr>
          <w:rFonts w:ascii="Book Antiqua" w:hAnsi="Book Antiqua" w:cs="Arial"/>
          <w:b/>
        </w:rPr>
        <w:t xml:space="preserve"> </w:t>
      </w:r>
      <w:r w:rsidR="00CC4031" w:rsidRPr="004334E1">
        <w:rPr>
          <w:rFonts w:ascii="Book Antiqua" w:hAnsi="Book Antiqua" w:cs="Arial"/>
        </w:rPr>
        <w:t xml:space="preserve">Enhancing transparency is perceived as a means of supporting meaningful governance and accountability. </w:t>
      </w:r>
      <w:r w:rsidR="009E1960" w:rsidRPr="004334E1">
        <w:rPr>
          <w:rFonts w:ascii="Book Antiqua" w:hAnsi="Book Antiqua" w:cs="Arial"/>
        </w:rPr>
        <w:t xml:space="preserve">Questions include those in relation to the governance of the organization, compensation mechanisms and operating policies. </w:t>
      </w:r>
      <w:r w:rsidRPr="004334E1">
        <w:rPr>
          <w:rFonts w:ascii="Book Antiqua" w:hAnsi="Book Antiqua" w:cs="Arial"/>
        </w:rPr>
        <w:t>A</w:t>
      </w:r>
      <w:r w:rsidR="00CC4031" w:rsidRPr="004334E1">
        <w:rPr>
          <w:rFonts w:ascii="Book Antiqua" w:hAnsi="Book Antiqua" w:cs="Arial"/>
        </w:rPr>
        <w:t>s a</w:t>
      </w:r>
      <w:r w:rsidRPr="004334E1">
        <w:rPr>
          <w:rFonts w:ascii="Book Antiqua" w:hAnsi="Book Antiqua" w:cs="Arial"/>
        </w:rPr>
        <w:t xml:space="preserve"> requirement of the IRS, these forms must provide accurate information, be signed and certified for accuracy</w:t>
      </w:r>
      <w:r w:rsidRPr="004334E1">
        <w:rPr>
          <w:rFonts w:ascii="Book Antiqua" w:hAnsi="Book Antiqua" w:cs="Arial"/>
          <w:b/>
        </w:rPr>
        <w:t xml:space="preserve"> </w:t>
      </w:r>
      <w:r w:rsidRPr="004334E1">
        <w:rPr>
          <w:rFonts w:ascii="Book Antiqua" w:hAnsi="Book Antiqua" w:cs="Arial"/>
        </w:rPr>
        <w:t>(under penalty if information was willfully omitted or misrepresented and for late filing). The Board or a Board finance committee should review the 990 prior to submission annually.</w:t>
      </w:r>
    </w:p>
    <w:p w14:paraId="6CF46CB4" w14:textId="77777777" w:rsidR="00A55602" w:rsidRPr="004334E1" w:rsidRDefault="00C54C44" w:rsidP="00C5679D">
      <w:pPr>
        <w:rPr>
          <w:rFonts w:ascii="Book Antiqua" w:hAnsi="Book Antiqua" w:cs="Arial"/>
          <w:color w:val="215868" w:themeColor="accent5" w:themeShade="80"/>
        </w:rPr>
      </w:pPr>
      <w:r w:rsidRPr="004334E1">
        <w:rPr>
          <w:rFonts w:ascii="Book Antiqua" w:hAnsi="Book Antiqua" w:cs="Arial"/>
          <w:color w:val="215868" w:themeColor="accent5" w:themeShade="80"/>
        </w:rPr>
        <w:t>As a board member you need to be</w:t>
      </w:r>
      <w:r w:rsidR="00A55602" w:rsidRPr="004334E1">
        <w:rPr>
          <w:rFonts w:ascii="Book Antiqua" w:hAnsi="Book Antiqua" w:cs="Arial"/>
          <w:color w:val="215868" w:themeColor="accent5" w:themeShade="80"/>
        </w:rPr>
        <w:t xml:space="preserve"> knowledgeable about the many health care investigators that </w:t>
      </w:r>
      <w:r w:rsidR="003F0ADD" w:rsidRPr="004334E1">
        <w:rPr>
          <w:rFonts w:ascii="Book Antiqua" w:hAnsi="Book Antiqua" w:cs="Arial"/>
          <w:color w:val="215868" w:themeColor="accent5" w:themeShade="80"/>
        </w:rPr>
        <w:t>exist</w:t>
      </w:r>
      <w:r w:rsidR="00A55602" w:rsidRPr="004334E1">
        <w:rPr>
          <w:rFonts w:ascii="Book Antiqua" w:hAnsi="Book Antiqua" w:cs="Arial"/>
          <w:color w:val="215868" w:themeColor="accent5" w:themeShade="80"/>
        </w:rPr>
        <w:t>:</w:t>
      </w:r>
    </w:p>
    <w:p w14:paraId="77FB204F" w14:textId="77777777" w:rsidR="00A55602" w:rsidRPr="004334E1" w:rsidRDefault="00A55602" w:rsidP="00997F53">
      <w:pPr>
        <w:pStyle w:val="ListParagraph"/>
        <w:numPr>
          <w:ilvl w:val="0"/>
          <w:numId w:val="9"/>
        </w:numPr>
        <w:rPr>
          <w:rFonts w:ascii="Book Antiqua" w:hAnsi="Book Antiqua" w:cs="Arial"/>
        </w:rPr>
      </w:pPr>
      <w:r w:rsidRPr="004334E1">
        <w:rPr>
          <w:rFonts w:ascii="Book Antiqua" w:hAnsi="Book Antiqua" w:cs="Arial"/>
        </w:rPr>
        <w:t>Departments of Health and Welfare for your State</w:t>
      </w:r>
      <w:r w:rsidR="00BF447D" w:rsidRPr="004334E1">
        <w:rPr>
          <w:rFonts w:ascii="Book Antiqua" w:hAnsi="Book Antiqua" w:cs="Arial"/>
        </w:rPr>
        <w:t>-</w:t>
      </w:r>
      <w:r w:rsidRPr="004334E1">
        <w:rPr>
          <w:rFonts w:ascii="Book Antiqua" w:hAnsi="Book Antiqua" w:cs="Arial"/>
        </w:rPr>
        <w:t xml:space="preserve"> </w:t>
      </w:r>
      <w:r w:rsidR="00BF447D" w:rsidRPr="004334E1">
        <w:rPr>
          <w:rFonts w:ascii="Book Antiqua" w:hAnsi="Book Antiqua" w:cs="Arial"/>
        </w:rPr>
        <w:t>R</w:t>
      </w:r>
      <w:r w:rsidRPr="004334E1">
        <w:rPr>
          <w:rFonts w:ascii="Book Antiqua" w:hAnsi="Book Antiqua" w:cs="Arial"/>
        </w:rPr>
        <w:t>esponsible to survey for licensure of Skilled Nursing and Assisted Living/Personal Care areas</w:t>
      </w:r>
    </w:p>
    <w:p w14:paraId="78137EB1" w14:textId="77777777" w:rsidR="00A55602" w:rsidRPr="004334E1" w:rsidRDefault="00A55602" w:rsidP="00997F53">
      <w:pPr>
        <w:pStyle w:val="ListParagraph"/>
        <w:numPr>
          <w:ilvl w:val="0"/>
          <w:numId w:val="9"/>
        </w:numPr>
        <w:rPr>
          <w:rFonts w:ascii="Book Antiqua" w:hAnsi="Book Antiqua" w:cs="Arial"/>
        </w:rPr>
      </w:pPr>
      <w:r w:rsidRPr="004334E1">
        <w:rPr>
          <w:rFonts w:ascii="Book Antiqua" w:hAnsi="Book Antiqua" w:cs="Arial"/>
        </w:rPr>
        <w:t xml:space="preserve">Medicare Administrative Contractors </w:t>
      </w:r>
      <w:r w:rsidR="00C54C44" w:rsidRPr="004334E1">
        <w:rPr>
          <w:rFonts w:ascii="Book Antiqua" w:hAnsi="Book Antiqua" w:cs="Arial"/>
        </w:rPr>
        <w:t>(MAC)</w:t>
      </w:r>
      <w:r w:rsidR="00BF447D" w:rsidRPr="004334E1">
        <w:rPr>
          <w:rFonts w:ascii="Book Antiqua" w:hAnsi="Book Antiqua" w:cs="Arial"/>
        </w:rPr>
        <w:t>-</w:t>
      </w:r>
      <w:r w:rsidR="00C54C44" w:rsidRPr="004334E1">
        <w:rPr>
          <w:rFonts w:ascii="Book Antiqua" w:hAnsi="Book Antiqua" w:cs="Arial"/>
        </w:rPr>
        <w:t xml:space="preserve"> </w:t>
      </w:r>
      <w:r w:rsidR="00997F53" w:rsidRPr="004334E1">
        <w:rPr>
          <w:rFonts w:ascii="Book Antiqua" w:hAnsi="Book Antiqua" w:cs="Arial"/>
        </w:rPr>
        <w:t>Y</w:t>
      </w:r>
      <w:r w:rsidRPr="004334E1">
        <w:rPr>
          <w:rFonts w:ascii="Book Antiqua" w:hAnsi="Book Antiqua" w:cs="Arial"/>
        </w:rPr>
        <w:t xml:space="preserve">our fiscal intermediary for </w:t>
      </w:r>
      <w:r w:rsidR="00640235" w:rsidRPr="004334E1">
        <w:rPr>
          <w:rFonts w:ascii="Book Antiqua" w:hAnsi="Book Antiqua" w:cs="Arial"/>
        </w:rPr>
        <w:t>Center for Medicare and Medicaid Services (</w:t>
      </w:r>
      <w:r w:rsidRPr="004334E1">
        <w:rPr>
          <w:rFonts w:ascii="Book Antiqua" w:hAnsi="Book Antiqua" w:cs="Arial"/>
        </w:rPr>
        <w:t>CMS</w:t>
      </w:r>
      <w:r w:rsidR="00640235" w:rsidRPr="004334E1">
        <w:rPr>
          <w:rFonts w:ascii="Book Antiqua" w:hAnsi="Book Antiqua" w:cs="Arial"/>
        </w:rPr>
        <w:t>)</w:t>
      </w:r>
      <w:r w:rsidR="00BF447D" w:rsidRPr="004334E1">
        <w:rPr>
          <w:rFonts w:ascii="Book Antiqua" w:hAnsi="Book Antiqua" w:cs="Arial"/>
        </w:rPr>
        <w:t xml:space="preserve"> which handles payment of claims for CMS </w:t>
      </w:r>
    </w:p>
    <w:p w14:paraId="1EF04038" w14:textId="77777777" w:rsidR="00A55602" w:rsidRPr="004334E1" w:rsidRDefault="006F1DF2" w:rsidP="00997F53">
      <w:pPr>
        <w:pStyle w:val="ListParagraph"/>
        <w:numPr>
          <w:ilvl w:val="0"/>
          <w:numId w:val="9"/>
        </w:numPr>
        <w:rPr>
          <w:rFonts w:ascii="Book Antiqua" w:hAnsi="Book Antiqua" w:cs="Arial"/>
        </w:rPr>
      </w:pPr>
      <w:r w:rsidRPr="004334E1">
        <w:rPr>
          <w:rFonts w:ascii="Book Antiqua" w:hAnsi="Book Antiqua" w:cs="Arial"/>
        </w:rPr>
        <w:t>O</w:t>
      </w:r>
      <w:r w:rsidR="00640235" w:rsidRPr="004334E1">
        <w:rPr>
          <w:rFonts w:ascii="Book Antiqua" w:hAnsi="Book Antiqua" w:cs="Arial"/>
        </w:rPr>
        <w:t xml:space="preserve">ffice of the Investigator </w:t>
      </w:r>
      <w:r w:rsidRPr="004334E1">
        <w:rPr>
          <w:rFonts w:ascii="Book Antiqua" w:hAnsi="Book Antiqua" w:cs="Arial"/>
        </w:rPr>
        <w:t>G</w:t>
      </w:r>
      <w:r w:rsidR="00640235" w:rsidRPr="004334E1">
        <w:rPr>
          <w:rFonts w:ascii="Book Antiqua" w:hAnsi="Book Antiqua" w:cs="Arial"/>
        </w:rPr>
        <w:t>eneral (OIG)</w:t>
      </w:r>
      <w:r w:rsidR="00BF447D" w:rsidRPr="004334E1">
        <w:rPr>
          <w:rFonts w:ascii="Book Antiqua" w:hAnsi="Book Antiqua" w:cs="Arial"/>
        </w:rPr>
        <w:t>-</w:t>
      </w:r>
      <w:r w:rsidR="00997F53" w:rsidRPr="004334E1">
        <w:rPr>
          <w:rFonts w:ascii="Book Antiqua" w:hAnsi="Book Antiqua" w:cs="Arial"/>
        </w:rPr>
        <w:t xml:space="preserve"> I</w:t>
      </w:r>
      <w:r w:rsidR="00A55602" w:rsidRPr="004334E1">
        <w:rPr>
          <w:rFonts w:ascii="Book Antiqua" w:hAnsi="Book Antiqua" w:cs="Arial"/>
        </w:rPr>
        <w:t>nvestigates civil fraud</w:t>
      </w:r>
    </w:p>
    <w:p w14:paraId="01DC57D3" w14:textId="77777777" w:rsidR="00A55602" w:rsidRPr="004334E1" w:rsidRDefault="00A55602" w:rsidP="00997F53">
      <w:pPr>
        <w:pStyle w:val="ListParagraph"/>
        <w:numPr>
          <w:ilvl w:val="0"/>
          <w:numId w:val="9"/>
        </w:numPr>
        <w:rPr>
          <w:rFonts w:ascii="Book Antiqua" w:hAnsi="Book Antiqua" w:cs="Arial"/>
        </w:rPr>
      </w:pPr>
      <w:r w:rsidRPr="004334E1">
        <w:rPr>
          <w:rFonts w:ascii="Book Antiqua" w:hAnsi="Book Antiqua" w:cs="Arial"/>
        </w:rPr>
        <w:t>Dep</w:t>
      </w:r>
      <w:r w:rsidR="00BF447D" w:rsidRPr="004334E1">
        <w:rPr>
          <w:rFonts w:ascii="Book Antiqua" w:hAnsi="Book Antiqua" w:cs="Arial"/>
        </w:rPr>
        <w:t>ar</w:t>
      </w:r>
      <w:r w:rsidRPr="004334E1">
        <w:rPr>
          <w:rFonts w:ascii="Book Antiqua" w:hAnsi="Book Antiqua" w:cs="Arial"/>
        </w:rPr>
        <w:t>t</w:t>
      </w:r>
      <w:r w:rsidR="00BF447D" w:rsidRPr="004334E1">
        <w:rPr>
          <w:rFonts w:ascii="Book Antiqua" w:hAnsi="Book Antiqua" w:cs="Arial"/>
        </w:rPr>
        <w:t>ment</w:t>
      </w:r>
      <w:r w:rsidRPr="004334E1">
        <w:rPr>
          <w:rFonts w:ascii="Book Antiqua" w:hAnsi="Book Antiqua" w:cs="Arial"/>
        </w:rPr>
        <w:t xml:space="preserve"> of Justice</w:t>
      </w:r>
      <w:r w:rsidR="00C54C44" w:rsidRPr="004334E1">
        <w:rPr>
          <w:rFonts w:ascii="Book Antiqua" w:hAnsi="Book Antiqua" w:cs="Arial"/>
        </w:rPr>
        <w:t xml:space="preserve"> (DOJ)</w:t>
      </w:r>
      <w:r w:rsidR="00BF447D" w:rsidRPr="004334E1">
        <w:rPr>
          <w:rFonts w:ascii="Book Antiqua" w:hAnsi="Book Antiqua" w:cs="Arial"/>
        </w:rPr>
        <w:t>-</w:t>
      </w:r>
      <w:r w:rsidR="00997F53" w:rsidRPr="004334E1">
        <w:rPr>
          <w:rFonts w:ascii="Book Antiqua" w:hAnsi="Book Antiqua" w:cs="Arial"/>
        </w:rPr>
        <w:t xml:space="preserve"> I</w:t>
      </w:r>
      <w:r w:rsidRPr="004334E1">
        <w:rPr>
          <w:rFonts w:ascii="Book Antiqua" w:hAnsi="Book Antiqua" w:cs="Arial"/>
        </w:rPr>
        <w:t>nvestigates criminal fraud</w:t>
      </w:r>
    </w:p>
    <w:p w14:paraId="7D21E4F5" w14:textId="77777777" w:rsidR="00A55602" w:rsidRPr="004334E1" w:rsidRDefault="00BF447D" w:rsidP="00997F53">
      <w:pPr>
        <w:pStyle w:val="ListParagraph"/>
        <w:numPr>
          <w:ilvl w:val="0"/>
          <w:numId w:val="9"/>
        </w:numPr>
        <w:rPr>
          <w:rFonts w:ascii="Book Antiqua" w:hAnsi="Book Antiqua" w:cs="Arial"/>
        </w:rPr>
      </w:pPr>
      <w:r w:rsidRPr="004334E1">
        <w:rPr>
          <w:rFonts w:ascii="Book Antiqua" w:hAnsi="Book Antiqua" w:cs="Arial"/>
        </w:rPr>
        <w:lastRenderedPageBreak/>
        <w:t xml:space="preserve">Whistleblowers- </w:t>
      </w:r>
      <w:r w:rsidR="00A55602" w:rsidRPr="004334E1">
        <w:rPr>
          <w:rFonts w:ascii="Book Antiqua" w:hAnsi="Book Antiqua" w:cs="Arial"/>
        </w:rPr>
        <w:t xml:space="preserve">Private </w:t>
      </w:r>
      <w:r w:rsidR="006F1DF2" w:rsidRPr="004334E1">
        <w:rPr>
          <w:rFonts w:ascii="Book Antiqua" w:hAnsi="Book Antiqua" w:cs="Arial"/>
        </w:rPr>
        <w:t>Citizens</w:t>
      </w:r>
      <w:r w:rsidR="00A55602" w:rsidRPr="004334E1">
        <w:rPr>
          <w:rFonts w:ascii="Book Antiqua" w:hAnsi="Book Antiqua" w:cs="Arial"/>
        </w:rPr>
        <w:t xml:space="preserve"> who may report </w:t>
      </w:r>
      <w:r w:rsidR="006F1DF2" w:rsidRPr="004334E1">
        <w:rPr>
          <w:rFonts w:ascii="Book Antiqua" w:hAnsi="Book Antiqua" w:cs="Arial"/>
        </w:rPr>
        <w:t xml:space="preserve">community wrongdoing </w:t>
      </w:r>
      <w:r w:rsidR="00A55602" w:rsidRPr="004334E1">
        <w:rPr>
          <w:rFonts w:ascii="Book Antiqua" w:hAnsi="Book Antiqua" w:cs="Arial"/>
        </w:rPr>
        <w:t>to the OIG</w:t>
      </w:r>
      <w:r w:rsidR="006F1DF2" w:rsidRPr="004334E1">
        <w:rPr>
          <w:rFonts w:ascii="Book Antiqua" w:hAnsi="Book Antiqua" w:cs="Arial"/>
        </w:rPr>
        <w:t>. They may be incentivized by financial awards based on the amount the government recoups from this report and in</w:t>
      </w:r>
      <w:r w:rsidR="008C5D18" w:rsidRPr="004334E1">
        <w:rPr>
          <w:rFonts w:ascii="Book Antiqua" w:hAnsi="Book Antiqua" w:cs="Arial"/>
        </w:rPr>
        <w:t>vestigation</w:t>
      </w:r>
    </w:p>
    <w:p w14:paraId="18598AC3" w14:textId="77777777" w:rsidR="00A55602" w:rsidRPr="004334E1" w:rsidRDefault="00A55602" w:rsidP="00997F53">
      <w:pPr>
        <w:pStyle w:val="ListParagraph"/>
        <w:numPr>
          <w:ilvl w:val="0"/>
          <w:numId w:val="9"/>
        </w:numPr>
        <w:rPr>
          <w:rFonts w:ascii="Book Antiqua" w:hAnsi="Book Antiqua" w:cs="Arial"/>
        </w:rPr>
      </w:pPr>
      <w:r w:rsidRPr="004334E1">
        <w:rPr>
          <w:rFonts w:ascii="Book Antiqua" w:hAnsi="Book Antiqua" w:cs="Arial"/>
        </w:rPr>
        <w:t>Office of Civil Rights</w:t>
      </w:r>
      <w:r w:rsidR="00C54C44" w:rsidRPr="004334E1">
        <w:rPr>
          <w:rFonts w:ascii="Book Antiqua" w:hAnsi="Book Antiqua" w:cs="Arial"/>
        </w:rPr>
        <w:t xml:space="preserve"> (OCR)</w:t>
      </w:r>
      <w:r w:rsidR="00BF447D" w:rsidRPr="004334E1">
        <w:rPr>
          <w:rFonts w:ascii="Book Antiqua" w:hAnsi="Book Antiqua" w:cs="Arial"/>
        </w:rPr>
        <w:t>-</w:t>
      </w:r>
      <w:r w:rsidRPr="004334E1">
        <w:rPr>
          <w:rFonts w:ascii="Book Antiqua" w:hAnsi="Book Antiqua" w:cs="Arial"/>
        </w:rPr>
        <w:t xml:space="preserve"> </w:t>
      </w:r>
      <w:r w:rsidR="00997F53" w:rsidRPr="004334E1">
        <w:rPr>
          <w:rFonts w:ascii="Book Antiqua" w:hAnsi="Book Antiqua" w:cs="Arial"/>
        </w:rPr>
        <w:t>O</w:t>
      </w:r>
      <w:r w:rsidRPr="004334E1">
        <w:rPr>
          <w:rFonts w:ascii="Book Antiqua" w:hAnsi="Book Antiqua" w:cs="Arial"/>
        </w:rPr>
        <w:t xml:space="preserve">versees and investigates </w:t>
      </w:r>
      <w:r w:rsidR="00640235" w:rsidRPr="004334E1">
        <w:rPr>
          <w:rFonts w:ascii="Book Antiqua" w:hAnsi="Book Antiqua" w:cs="Arial"/>
        </w:rPr>
        <w:t>Health Insurance Portability and Accountability Act (</w:t>
      </w:r>
      <w:r w:rsidRPr="004334E1">
        <w:rPr>
          <w:rFonts w:ascii="Book Antiqua" w:hAnsi="Book Antiqua" w:cs="Arial"/>
        </w:rPr>
        <w:t>HIPAA</w:t>
      </w:r>
      <w:r w:rsidR="00640235" w:rsidRPr="004334E1">
        <w:rPr>
          <w:rFonts w:ascii="Book Antiqua" w:hAnsi="Book Antiqua" w:cs="Arial"/>
        </w:rPr>
        <w:t>)</w:t>
      </w:r>
      <w:r w:rsidRPr="004334E1">
        <w:rPr>
          <w:rFonts w:ascii="Book Antiqua" w:hAnsi="Book Antiqua" w:cs="Arial"/>
        </w:rPr>
        <w:t xml:space="preserve"> violations</w:t>
      </w:r>
      <w:r w:rsidR="00C54C44" w:rsidRPr="004334E1">
        <w:rPr>
          <w:rFonts w:ascii="Book Antiqua" w:hAnsi="Book Antiqua" w:cs="Arial"/>
        </w:rPr>
        <w:t>/br</w:t>
      </w:r>
      <w:r w:rsidR="006F1DF2" w:rsidRPr="004334E1">
        <w:rPr>
          <w:rFonts w:ascii="Book Antiqua" w:hAnsi="Book Antiqua" w:cs="Arial"/>
        </w:rPr>
        <w:t>eaches</w:t>
      </w:r>
    </w:p>
    <w:p w14:paraId="3E2D19B5" w14:textId="77777777" w:rsidR="00762C8D" w:rsidRPr="004334E1" w:rsidRDefault="006F1DF2" w:rsidP="00997F53">
      <w:pPr>
        <w:pStyle w:val="ListParagraph"/>
        <w:numPr>
          <w:ilvl w:val="0"/>
          <w:numId w:val="9"/>
        </w:numPr>
        <w:rPr>
          <w:rFonts w:ascii="Book Antiqua" w:hAnsi="Book Antiqua" w:cs="Arial"/>
        </w:rPr>
      </w:pPr>
      <w:r w:rsidRPr="004334E1">
        <w:rPr>
          <w:rFonts w:ascii="Book Antiqua" w:hAnsi="Book Antiqua" w:cs="Arial"/>
        </w:rPr>
        <w:t>O</w:t>
      </w:r>
      <w:r w:rsidR="00640235" w:rsidRPr="004334E1">
        <w:rPr>
          <w:rFonts w:ascii="Book Antiqua" w:hAnsi="Book Antiqua" w:cs="Arial"/>
        </w:rPr>
        <w:t xml:space="preserve">ccupational, </w:t>
      </w:r>
      <w:r w:rsidRPr="004334E1">
        <w:rPr>
          <w:rFonts w:ascii="Book Antiqua" w:hAnsi="Book Antiqua" w:cs="Arial"/>
        </w:rPr>
        <w:t>S</w:t>
      </w:r>
      <w:r w:rsidR="00640235" w:rsidRPr="004334E1">
        <w:rPr>
          <w:rFonts w:ascii="Book Antiqua" w:hAnsi="Book Antiqua" w:cs="Arial"/>
        </w:rPr>
        <w:t xml:space="preserve">afety and </w:t>
      </w:r>
      <w:r w:rsidRPr="004334E1">
        <w:rPr>
          <w:rFonts w:ascii="Book Antiqua" w:hAnsi="Book Antiqua" w:cs="Arial"/>
        </w:rPr>
        <w:t>H</w:t>
      </w:r>
      <w:r w:rsidR="00640235" w:rsidRPr="004334E1">
        <w:rPr>
          <w:rFonts w:ascii="Book Antiqua" w:hAnsi="Book Antiqua" w:cs="Arial"/>
        </w:rPr>
        <w:t xml:space="preserve">azard </w:t>
      </w:r>
      <w:r w:rsidRPr="004334E1">
        <w:rPr>
          <w:rFonts w:ascii="Book Antiqua" w:hAnsi="Book Antiqua" w:cs="Arial"/>
        </w:rPr>
        <w:t>A</w:t>
      </w:r>
      <w:r w:rsidR="00640235" w:rsidRPr="004334E1">
        <w:rPr>
          <w:rFonts w:ascii="Book Antiqua" w:hAnsi="Book Antiqua" w:cs="Arial"/>
        </w:rPr>
        <w:t>dministration (OSHA)</w:t>
      </w:r>
      <w:r w:rsidR="00BF447D" w:rsidRPr="004334E1">
        <w:rPr>
          <w:rFonts w:ascii="Book Antiqua" w:hAnsi="Book Antiqua" w:cs="Arial"/>
        </w:rPr>
        <w:t>-</w:t>
      </w:r>
      <w:r w:rsidRPr="004334E1">
        <w:rPr>
          <w:rFonts w:ascii="Book Antiqua" w:hAnsi="Book Antiqua" w:cs="Arial"/>
        </w:rPr>
        <w:t xml:space="preserve"> </w:t>
      </w:r>
      <w:r w:rsidR="008C5D18" w:rsidRPr="004334E1">
        <w:rPr>
          <w:rFonts w:ascii="Book Antiqua" w:hAnsi="Book Antiqua" w:cs="Arial"/>
        </w:rPr>
        <w:t>O</w:t>
      </w:r>
      <w:r w:rsidRPr="004334E1">
        <w:rPr>
          <w:rFonts w:ascii="Book Antiqua" w:hAnsi="Book Antiqua" w:cs="Arial"/>
        </w:rPr>
        <w:t>versees</w:t>
      </w:r>
      <w:r w:rsidR="00762C8D" w:rsidRPr="004334E1">
        <w:rPr>
          <w:rFonts w:ascii="Book Antiqua" w:hAnsi="Book Antiqua" w:cs="Arial"/>
        </w:rPr>
        <w:t xml:space="preserve"> </w:t>
      </w:r>
      <w:r w:rsidRPr="004334E1">
        <w:rPr>
          <w:rFonts w:ascii="Book Antiqua" w:hAnsi="Book Antiqua" w:cs="Arial"/>
        </w:rPr>
        <w:t>complaints on occupational hazards and can perform</w:t>
      </w:r>
      <w:r w:rsidR="00762C8D" w:rsidRPr="004334E1">
        <w:rPr>
          <w:rFonts w:ascii="Book Antiqua" w:hAnsi="Book Antiqua" w:cs="Arial"/>
        </w:rPr>
        <w:t xml:space="preserve"> random surveys based on reportable event history</w:t>
      </w:r>
    </w:p>
    <w:p w14:paraId="633FF770" w14:textId="77777777" w:rsidR="00762C8D" w:rsidRPr="004334E1" w:rsidRDefault="00762C8D" w:rsidP="00997F53">
      <w:pPr>
        <w:pStyle w:val="ListParagraph"/>
        <w:numPr>
          <w:ilvl w:val="0"/>
          <w:numId w:val="9"/>
        </w:numPr>
        <w:rPr>
          <w:rFonts w:ascii="Book Antiqua" w:hAnsi="Book Antiqua" w:cs="Arial"/>
        </w:rPr>
      </w:pPr>
      <w:r w:rsidRPr="004334E1">
        <w:rPr>
          <w:rFonts w:ascii="Book Antiqua" w:hAnsi="Book Antiqua" w:cs="Arial"/>
        </w:rPr>
        <w:t>Recovery Audit Contractors</w:t>
      </w:r>
      <w:r w:rsidR="00BF447D" w:rsidRPr="004334E1">
        <w:rPr>
          <w:rFonts w:ascii="Book Antiqua" w:hAnsi="Book Antiqua" w:cs="Arial"/>
        </w:rPr>
        <w:t xml:space="preserve"> (RAC)</w:t>
      </w:r>
      <w:r w:rsidRPr="004334E1">
        <w:rPr>
          <w:rFonts w:ascii="Book Antiqua" w:hAnsi="Book Antiqua" w:cs="Arial"/>
        </w:rPr>
        <w:t>, Medicaid Integrity Contractors</w:t>
      </w:r>
      <w:r w:rsidR="00BF447D" w:rsidRPr="004334E1">
        <w:rPr>
          <w:rFonts w:ascii="Book Antiqua" w:hAnsi="Book Antiqua" w:cs="Arial"/>
        </w:rPr>
        <w:t xml:space="preserve"> (MIC)</w:t>
      </w:r>
      <w:r w:rsidRPr="004334E1">
        <w:rPr>
          <w:rFonts w:ascii="Book Antiqua" w:hAnsi="Book Antiqua" w:cs="Arial"/>
        </w:rPr>
        <w:t>,</w:t>
      </w:r>
      <w:r w:rsidR="00047BC2" w:rsidRPr="004334E1">
        <w:rPr>
          <w:rFonts w:ascii="Book Antiqua" w:hAnsi="Book Antiqua" w:cs="Arial"/>
        </w:rPr>
        <w:t xml:space="preserve"> Zone Program Integrity </w:t>
      </w:r>
      <w:proofErr w:type="gramStart"/>
      <w:r w:rsidR="00047BC2" w:rsidRPr="004334E1">
        <w:rPr>
          <w:rFonts w:ascii="Book Antiqua" w:hAnsi="Book Antiqua" w:cs="Arial"/>
        </w:rPr>
        <w:t>Contractors</w:t>
      </w:r>
      <w:r w:rsidR="00BF447D" w:rsidRPr="004334E1">
        <w:rPr>
          <w:rFonts w:ascii="Book Antiqua" w:hAnsi="Book Antiqua" w:cs="Arial"/>
        </w:rPr>
        <w:t>(</w:t>
      </w:r>
      <w:proofErr w:type="gramEnd"/>
      <w:r w:rsidR="00BF447D" w:rsidRPr="004334E1">
        <w:rPr>
          <w:rFonts w:ascii="Book Antiqua" w:hAnsi="Book Antiqua" w:cs="Arial"/>
        </w:rPr>
        <w:t>ZPIC)-</w:t>
      </w:r>
      <w:r w:rsidR="00047BC2" w:rsidRPr="004334E1">
        <w:rPr>
          <w:rFonts w:ascii="Book Antiqua" w:hAnsi="Book Antiqua" w:cs="Arial"/>
        </w:rPr>
        <w:t xml:space="preserve"> Contractors that have access to Medicare and Medicaid payme</w:t>
      </w:r>
      <w:r w:rsidR="006F1DF2" w:rsidRPr="004334E1">
        <w:rPr>
          <w:rFonts w:ascii="Book Antiqua" w:hAnsi="Book Antiqua" w:cs="Arial"/>
        </w:rPr>
        <w:t>nt history</w:t>
      </w:r>
      <w:r w:rsidR="00047BC2" w:rsidRPr="004334E1">
        <w:rPr>
          <w:rFonts w:ascii="Book Antiqua" w:hAnsi="Book Antiqua" w:cs="Arial"/>
        </w:rPr>
        <w:t>, hired by the government to seek ou</w:t>
      </w:r>
      <w:r w:rsidR="008C5D18" w:rsidRPr="004334E1">
        <w:rPr>
          <w:rFonts w:ascii="Book Antiqua" w:hAnsi="Book Antiqua" w:cs="Arial"/>
        </w:rPr>
        <w:t>t overpayments, fraud and waste</w:t>
      </w:r>
    </w:p>
    <w:p w14:paraId="280476DB" w14:textId="77777777" w:rsidR="008048AC" w:rsidRPr="004334E1" w:rsidRDefault="008048AC" w:rsidP="008048AC">
      <w:pPr>
        <w:rPr>
          <w:rFonts w:ascii="Book Antiqua" w:hAnsi="Book Antiqua" w:cs="Arial"/>
        </w:rPr>
      </w:pPr>
      <w:r w:rsidRPr="004334E1">
        <w:rPr>
          <w:rFonts w:ascii="Book Antiqua" w:hAnsi="Book Antiqua" w:cs="Arial"/>
        </w:rPr>
        <w:t xml:space="preserve">Board members must understand their duties and engage in the compliance program. Transparency is the new buzz word. Just as the government is demanding to know more about the ownership and structure of the operations, </w:t>
      </w:r>
      <w:r w:rsidR="00BF447D" w:rsidRPr="004334E1">
        <w:rPr>
          <w:rFonts w:ascii="Book Antiqua" w:hAnsi="Book Antiqua" w:cs="Arial"/>
        </w:rPr>
        <w:t>the</w:t>
      </w:r>
      <w:r w:rsidRPr="004334E1">
        <w:rPr>
          <w:rFonts w:ascii="Book Antiqua" w:hAnsi="Book Antiqua" w:cs="Arial"/>
        </w:rPr>
        <w:t xml:space="preserve"> board need</w:t>
      </w:r>
      <w:r w:rsidR="008C5D18" w:rsidRPr="004334E1">
        <w:rPr>
          <w:rFonts w:ascii="Book Antiqua" w:hAnsi="Book Antiqua" w:cs="Arial"/>
        </w:rPr>
        <w:t>s</w:t>
      </w:r>
      <w:r w:rsidRPr="004334E1">
        <w:rPr>
          <w:rFonts w:ascii="Book Antiqua" w:hAnsi="Book Antiqua" w:cs="Arial"/>
        </w:rPr>
        <w:t xml:space="preserve"> to know enough about health care operations to know </w:t>
      </w:r>
      <w:r w:rsidR="006F1DF2" w:rsidRPr="004334E1">
        <w:rPr>
          <w:rFonts w:ascii="Book Antiqua" w:hAnsi="Book Antiqua" w:cs="Arial"/>
        </w:rPr>
        <w:t>what questions to ask. Examples of topics you should be reviewing:</w:t>
      </w:r>
    </w:p>
    <w:p w14:paraId="4E506A01" w14:textId="77777777" w:rsidR="008048AC" w:rsidRPr="004334E1" w:rsidRDefault="008048AC" w:rsidP="008C5D18">
      <w:pPr>
        <w:pStyle w:val="ListParagraph"/>
        <w:numPr>
          <w:ilvl w:val="0"/>
          <w:numId w:val="10"/>
        </w:numPr>
        <w:rPr>
          <w:rFonts w:ascii="Book Antiqua" w:hAnsi="Book Antiqua" w:cs="Arial"/>
        </w:rPr>
      </w:pPr>
      <w:r w:rsidRPr="004334E1">
        <w:rPr>
          <w:rFonts w:ascii="Book Antiqua" w:hAnsi="Book Antiqua" w:cs="Arial"/>
        </w:rPr>
        <w:t>Quality of Care (Survey results, complaint visits, Quality Measures, reportable events</w:t>
      </w:r>
      <w:r w:rsidR="00481D1B" w:rsidRPr="004334E1">
        <w:rPr>
          <w:rFonts w:ascii="Book Antiqua" w:hAnsi="Book Antiqua" w:cs="Arial"/>
        </w:rPr>
        <w:t xml:space="preserve">, </w:t>
      </w:r>
      <w:proofErr w:type="gramStart"/>
      <w:r w:rsidR="00481D1B" w:rsidRPr="004334E1">
        <w:rPr>
          <w:rFonts w:ascii="Book Antiqua" w:hAnsi="Book Antiqua" w:cs="Arial"/>
        </w:rPr>
        <w:t>satisfaction  surveys</w:t>
      </w:r>
      <w:proofErr w:type="gramEnd"/>
      <w:r w:rsidRPr="004334E1">
        <w:rPr>
          <w:rFonts w:ascii="Book Antiqua" w:hAnsi="Book Antiqua" w:cs="Arial"/>
        </w:rPr>
        <w:t>)</w:t>
      </w:r>
    </w:p>
    <w:p w14:paraId="7DFF75E9" w14:textId="77777777" w:rsidR="00481D1B" w:rsidRPr="004334E1" w:rsidRDefault="00481D1B" w:rsidP="008C5D18">
      <w:pPr>
        <w:pStyle w:val="ListParagraph"/>
        <w:numPr>
          <w:ilvl w:val="0"/>
          <w:numId w:val="10"/>
        </w:numPr>
        <w:rPr>
          <w:rFonts w:ascii="Book Antiqua" w:hAnsi="Book Antiqua" w:cs="Arial"/>
        </w:rPr>
      </w:pPr>
      <w:r w:rsidRPr="004334E1">
        <w:rPr>
          <w:rFonts w:ascii="Book Antiqua" w:hAnsi="Book Antiqua" w:cs="Arial"/>
        </w:rPr>
        <w:t>Monitoring staffing, staff turnover and staff training</w:t>
      </w:r>
    </w:p>
    <w:p w14:paraId="4C5B6BC6" w14:textId="77777777" w:rsidR="00481D1B" w:rsidRPr="004334E1" w:rsidRDefault="00481D1B" w:rsidP="008C5D18">
      <w:pPr>
        <w:pStyle w:val="ListParagraph"/>
        <w:numPr>
          <w:ilvl w:val="0"/>
          <w:numId w:val="10"/>
        </w:numPr>
        <w:rPr>
          <w:rFonts w:ascii="Book Antiqua" w:hAnsi="Book Antiqua" w:cs="Arial"/>
        </w:rPr>
      </w:pPr>
      <w:proofErr w:type="gramStart"/>
      <w:r w:rsidRPr="004334E1">
        <w:rPr>
          <w:rFonts w:ascii="Book Antiqua" w:hAnsi="Book Antiqua" w:cs="Arial"/>
        </w:rPr>
        <w:t>Financial  measures</w:t>
      </w:r>
      <w:proofErr w:type="gramEnd"/>
      <w:r w:rsidRPr="004334E1">
        <w:rPr>
          <w:rFonts w:ascii="Book Antiqua" w:hAnsi="Book Antiqua" w:cs="Arial"/>
        </w:rPr>
        <w:t xml:space="preserve"> </w:t>
      </w:r>
      <w:r w:rsidR="00BF447D" w:rsidRPr="004334E1">
        <w:rPr>
          <w:rFonts w:ascii="Book Antiqua" w:hAnsi="Book Antiqua" w:cs="Arial"/>
        </w:rPr>
        <w:t>(</w:t>
      </w:r>
      <w:r w:rsidRPr="004334E1">
        <w:rPr>
          <w:rFonts w:ascii="Book Antiqua" w:hAnsi="Book Antiqua" w:cs="Arial"/>
        </w:rPr>
        <w:t>not just as they relate to the business side but how they relate to quality of care as well</w:t>
      </w:r>
      <w:r w:rsidR="00BF447D" w:rsidRPr="004334E1">
        <w:rPr>
          <w:rFonts w:ascii="Book Antiqua" w:hAnsi="Book Antiqua" w:cs="Arial"/>
        </w:rPr>
        <w:t>)</w:t>
      </w:r>
    </w:p>
    <w:p w14:paraId="6A4255C8" w14:textId="77777777" w:rsidR="00481D1B" w:rsidRPr="004334E1" w:rsidRDefault="00481D1B" w:rsidP="008C5D18">
      <w:pPr>
        <w:pStyle w:val="ListParagraph"/>
        <w:numPr>
          <w:ilvl w:val="0"/>
          <w:numId w:val="10"/>
        </w:numPr>
        <w:rPr>
          <w:rFonts w:ascii="Book Antiqua" w:hAnsi="Book Antiqua" w:cs="Arial"/>
        </w:rPr>
      </w:pPr>
      <w:r w:rsidRPr="004334E1">
        <w:rPr>
          <w:rFonts w:ascii="Book Antiqua" w:hAnsi="Book Antiqua" w:cs="Arial"/>
        </w:rPr>
        <w:t>Contracted Services performance</w:t>
      </w:r>
    </w:p>
    <w:p w14:paraId="0DE1C51B" w14:textId="77777777" w:rsidR="00481D1B" w:rsidRPr="004334E1" w:rsidRDefault="00481D1B" w:rsidP="008C5D18">
      <w:pPr>
        <w:pStyle w:val="ListParagraph"/>
        <w:numPr>
          <w:ilvl w:val="0"/>
          <w:numId w:val="10"/>
        </w:numPr>
        <w:rPr>
          <w:rFonts w:ascii="Book Antiqua" w:hAnsi="Book Antiqua" w:cs="Arial"/>
        </w:rPr>
      </w:pPr>
      <w:r w:rsidRPr="004334E1">
        <w:rPr>
          <w:rFonts w:ascii="Book Antiqua" w:hAnsi="Book Antiqua" w:cs="Arial"/>
        </w:rPr>
        <w:t>Summary of quality improvement projects</w:t>
      </w:r>
    </w:p>
    <w:p w14:paraId="2953626B" w14:textId="77777777" w:rsidR="00481D1B" w:rsidRPr="004334E1" w:rsidRDefault="00481D1B" w:rsidP="008C5D18">
      <w:pPr>
        <w:pStyle w:val="ListParagraph"/>
        <w:numPr>
          <w:ilvl w:val="0"/>
          <w:numId w:val="10"/>
        </w:numPr>
        <w:rPr>
          <w:rFonts w:ascii="Book Antiqua" w:hAnsi="Book Antiqua" w:cs="Arial"/>
        </w:rPr>
      </w:pPr>
      <w:r w:rsidRPr="004334E1">
        <w:rPr>
          <w:rFonts w:ascii="Book Antiqua" w:hAnsi="Book Antiqua" w:cs="Arial"/>
        </w:rPr>
        <w:t>Employee grievances and monitor</w:t>
      </w:r>
      <w:r w:rsidR="008C5D18" w:rsidRPr="004334E1">
        <w:rPr>
          <w:rFonts w:ascii="Book Antiqua" w:hAnsi="Book Antiqua" w:cs="Arial"/>
        </w:rPr>
        <w:t>ing</w:t>
      </w:r>
      <w:r w:rsidRPr="004334E1">
        <w:rPr>
          <w:rFonts w:ascii="Book Antiqua" w:hAnsi="Book Antiqua" w:cs="Arial"/>
        </w:rPr>
        <w:t xml:space="preserve"> if employees feel there is an </w:t>
      </w:r>
      <w:proofErr w:type="gramStart"/>
      <w:r w:rsidRPr="004334E1">
        <w:rPr>
          <w:rFonts w:ascii="Book Antiqua" w:hAnsi="Book Antiqua" w:cs="Arial"/>
        </w:rPr>
        <w:t>open door</w:t>
      </w:r>
      <w:proofErr w:type="gramEnd"/>
      <w:r w:rsidRPr="004334E1">
        <w:rPr>
          <w:rFonts w:ascii="Book Antiqua" w:hAnsi="Book Antiqua" w:cs="Arial"/>
        </w:rPr>
        <w:t xml:space="preserve"> policy</w:t>
      </w:r>
    </w:p>
    <w:p w14:paraId="7EF372E4" w14:textId="77777777" w:rsidR="006F1DF2" w:rsidRPr="004334E1" w:rsidRDefault="006F1DF2" w:rsidP="008C5D18">
      <w:pPr>
        <w:pStyle w:val="ListParagraph"/>
        <w:numPr>
          <w:ilvl w:val="0"/>
          <w:numId w:val="10"/>
        </w:numPr>
        <w:rPr>
          <w:rFonts w:ascii="Book Antiqua" w:hAnsi="Book Antiqua" w:cs="Arial"/>
        </w:rPr>
      </w:pPr>
      <w:r w:rsidRPr="004334E1">
        <w:rPr>
          <w:rFonts w:ascii="Book Antiqua" w:hAnsi="Book Antiqua" w:cs="Arial"/>
        </w:rPr>
        <w:t>Resident grievances and satisfaction surveys</w:t>
      </w:r>
    </w:p>
    <w:p w14:paraId="5C8B94BB" w14:textId="77777777" w:rsidR="008048AC" w:rsidRPr="006C0186" w:rsidRDefault="006F1DF2" w:rsidP="00BF447D">
      <w:pPr>
        <w:jc w:val="center"/>
        <w:rPr>
          <w:rFonts w:ascii="Century Schoolbook" w:hAnsi="Century Schoolbook" w:cs="Arial"/>
          <w:color w:val="215868" w:themeColor="accent5" w:themeShade="80"/>
        </w:rPr>
      </w:pPr>
      <w:r w:rsidRPr="004334E1">
        <w:rPr>
          <w:rFonts w:ascii="Book Antiqua" w:hAnsi="Book Antiqua" w:cs="Arial"/>
          <w:b/>
          <w:color w:val="215868" w:themeColor="accent5" w:themeShade="80"/>
        </w:rPr>
        <w:t>This list i</w:t>
      </w:r>
      <w:r w:rsidR="001474B9" w:rsidRPr="004334E1">
        <w:rPr>
          <w:rFonts w:ascii="Book Antiqua" w:hAnsi="Book Antiqua" w:cs="Arial"/>
          <w:b/>
          <w:color w:val="215868" w:themeColor="accent5" w:themeShade="80"/>
        </w:rPr>
        <w:t>s</w:t>
      </w:r>
      <w:r w:rsidRPr="004334E1">
        <w:rPr>
          <w:rFonts w:ascii="Book Antiqua" w:hAnsi="Book Antiqua" w:cs="Arial"/>
          <w:b/>
          <w:color w:val="215868" w:themeColor="accent5" w:themeShade="80"/>
        </w:rPr>
        <w:t xml:space="preserve"> not all </w:t>
      </w:r>
      <w:proofErr w:type="gramStart"/>
      <w:r w:rsidRPr="004334E1">
        <w:rPr>
          <w:rFonts w:ascii="Book Antiqua" w:hAnsi="Book Antiqua" w:cs="Arial"/>
          <w:b/>
          <w:color w:val="215868" w:themeColor="accent5" w:themeShade="80"/>
        </w:rPr>
        <w:t>inclusive</w:t>
      </w:r>
      <w:r w:rsidR="001474B9" w:rsidRPr="004334E1">
        <w:rPr>
          <w:rFonts w:ascii="Book Antiqua" w:hAnsi="Book Antiqua" w:cs="Arial"/>
          <w:b/>
          <w:color w:val="215868" w:themeColor="accent5" w:themeShade="80"/>
        </w:rPr>
        <w:t>,</w:t>
      </w:r>
      <w:r w:rsidRPr="004334E1">
        <w:rPr>
          <w:rFonts w:ascii="Book Antiqua" w:hAnsi="Book Antiqua" w:cs="Arial"/>
          <w:b/>
          <w:color w:val="215868" w:themeColor="accent5" w:themeShade="80"/>
        </w:rPr>
        <w:t xml:space="preserve"> but</w:t>
      </w:r>
      <w:proofErr w:type="gramEnd"/>
      <w:r w:rsidRPr="004334E1">
        <w:rPr>
          <w:rFonts w:ascii="Book Antiqua" w:hAnsi="Book Antiqua" w:cs="Arial"/>
          <w:b/>
          <w:color w:val="215868" w:themeColor="accent5" w:themeShade="80"/>
        </w:rPr>
        <w:t xml:space="preserve"> intended to provide a sample for your discussion with administration.</w:t>
      </w:r>
      <w:r w:rsidR="00C54C44" w:rsidRPr="004334E1">
        <w:rPr>
          <w:rFonts w:ascii="Book Antiqua" w:hAnsi="Book Antiqua" w:cs="Arial"/>
          <w:b/>
          <w:color w:val="215868" w:themeColor="accent5" w:themeShade="80"/>
        </w:rPr>
        <w:t xml:space="preserve"> You may also refer to Resource 1 and 2 of this </w:t>
      </w:r>
      <w:proofErr w:type="gramStart"/>
      <w:r w:rsidR="00C54C44" w:rsidRPr="004334E1">
        <w:rPr>
          <w:rFonts w:ascii="Book Antiqua" w:hAnsi="Book Antiqua" w:cs="Arial"/>
          <w:b/>
          <w:color w:val="215868" w:themeColor="accent5" w:themeShade="80"/>
        </w:rPr>
        <w:t>packet</w:t>
      </w:r>
      <w:proofErr w:type="gramEnd"/>
      <w:r w:rsidR="00C54C44" w:rsidRPr="004334E1">
        <w:rPr>
          <w:rFonts w:ascii="Book Antiqua" w:hAnsi="Book Antiqua" w:cs="Arial"/>
          <w:b/>
          <w:color w:val="215868" w:themeColor="accent5" w:themeShade="80"/>
        </w:rPr>
        <w:t xml:space="preserve"> for further information on what generative questi</w:t>
      </w:r>
      <w:r w:rsidR="00C54C44" w:rsidRPr="006C0186">
        <w:rPr>
          <w:rFonts w:ascii="Century Schoolbook" w:hAnsi="Century Schoolbook" w:cs="Arial"/>
          <w:b/>
          <w:color w:val="215868" w:themeColor="accent5" w:themeShade="80"/>
        </w:rPr>
        <w:t>ons a board may consider.</w:t>
      </w:r>
    </w:p>
    <w:sectPr w:rsidR="008048AC" w:rsidRPr="006C0186" w:rsidSect="008F67F5">
      <w:footerReference w:type="default" r:id="rId10"/>
      <w:headerReference w:type="first" r:id="rId11"/>
      <w:footerReference w:type="first" r:id="rId12"/>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DB07" w14:textId="77777777" w:rsidR="000A3F67" w:rsidRDefault="000A3F67" w:rsidP="00BF447D">
      <w:pPr>
        <w:spacing w:after="0" w:line="240" w:lineRule="auto"/>
      </w:pPr>
      <w:r>
        <w:separator/>
      </w:r>
    </w:p>
  </w:endnote>
  <w:endnote w:type="continuationSeparator" w:id="0">
    <w:p w14:paraId="4416CA4B" w14:textId="77777777" w:rsidR="000A3F67" w:rsidRDefault="000A3F67" w:rsidP="00BF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utura">
    <w:altName w:val="Century Gothic"/>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utura" w:hAnsi="Futura" w:cs="Futura"/>
      </w:rPr>
      <w:id w:val="1552888864"/>
      <w:docPartObj>
        <w:docPartGallery w:val="Page Numbers (Bottom of Page)"/>
        <w:docPartUnique/>
      </w:docPartObj>
    </w:sdtPr>
    <w:sdtEndPr>
      <w:rPr>
        <w:noProof/>
      </w:rPr>
    </w:sdtEndPr>
    <w:sdtContent>
      <w:p w14:paraId="366D54D7" w14:textId="77777777" w:rsidR="00262EB8" w:rsidRPr="006C0186" w:rsidRDefault="006C0186">
        <w:pPr>
          <w:pStyle w:val="Footer"/>
          <w:jc w:val="center"/>
          <w:rPr>
            <w:rFonts w:ascii="Futura" w:hAnsi="Futura" w:cs="Futura"/>
          </w:rPr>
        </w:pPr>
        <w:r w:rsidRPr="006C0186">
          <w:rPr>
            <w:rFonts w:ascii="Futura" w:hAnsi="Futura" w:cs="Futura"/>
          </w:rPr>
          <w:t xml:space="preserve">Page </w:t>
        </w:r>
        <w:r w:rsidR="00262EB8" w:rsidRPr="006C0186">
          <w:rPr>
            <w:rFonts w:ascii="Futura" w:hAnsi="Futura" w:cs="Futura"/>
          </w:rPr>
          <w:fldChar w:fldCharType="begin"/>
        </w:r>
        <w:r w:rsidR="00262EB8" w:rsidRPr="006C0186">
          <w:rPr>
            <w:rFonts w:ascii="Futura" w:hAnsi="Futura" w:cs="Futura"/>
          </w:rPr>
          <w:instrText xml:space="preserve"> PAGE   \* MERGEFORMAT </w:instrText>
        </w:r>
        <w:r w:rsidR="00262EB8" w:rsidRPr="006C0186">
          <w:rPr>
            <w:rFonts w:ascii="Futura" w:hAnsi="Futura" w:cs="Futura"/>
          </w:rPr>
          <w:fldChar w:fldCharType="separate"/>
        </w:r>
        <w:r w:rsidR="008C5D18">
          <w:rPr>
            <w:rFonts w:ascii="Futura" w:hAnsi="Futura" w:cs="Futura"/>
            <w:noProof/>
          </w:rPr>
          <w:t>4</w:t>
        </w:r>
        <w:r w:rsidR="00262EB8" w:rsidRPr="006C0186">
          <w:rPr>
            <w:rFonts w:ascii="Futura" w:hAnsi="Futura" w:cs="Futura"/>
            <w:noProof/>
          </w:rPr>
          <w:fldChar w:fldCharType="end"/>
        </w:r>
        <w:r w:rsidRPr="006C0186">
          <w:rPr>
            <w:rFonts w:ascii="Futura" w:hAnsi="Futura" w:cs="Futura"/>
            <w:noProof/>
          </w:rPr>
          <w:t xml:space="preserve"> of 4</w:t>
        </w:r>
      </w:p>
    </w:sdtContent>
  </w:sdt>
  <w:p w14:paraId="1B5C9413" w14:textId="77777777" w:rsidR="00BF447D" w:rsidRDefault="00BF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CC47" w14:textId="4F16F288" w:rsidR="00567BD5" w:rsidRPr="004334E1" w:rsidRDefault="004334E1">
    <w:pPr>
      <w:pStyle w:val="Footer"/>
      <w:rPr>
        <w:rFonts w:ascii="Book Antiqua" w:hAnsi="Book Antiqua"/>
        <w:sz w:val="20"/>
        <w:szCs w:val="20"/>
      </w:rPr>
    </w:pPr>
    <w:r w:rsidRPr="004334E1">
      <w:rPr>
        <w:rFonts w:ascii="Book Antiqua" w:hAnsi="Book Antiqua" w:cstheme="minorHAnsi"/>
        <w:sz w:val="20"/>
        <w:szCs w:val="20"/>
      </w:rPr>
      <w:t>©</w:t>
    </w:r>
    <w:r w:rsidRPr="004334E1">
      <w:rPr>
        <w:rFonts w:ascii="Book Antiqua" w:hAnsi="Book Antiqua"/>
        <w:sz w:val="20"/>
        <w:szCs w:val="20"/>
      </w:rPr>
      <w:t xml:space="preserve"> AQORD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BC16" w14:textId="77777777" w:rsidR="000A3F67" w:rsidRDefault="000A3F67" w:rsidP="00BF447D">
      <w:pPr>
        <w:spacing w:after="0" w:line="240" w:lineRule="auto"/>
      </w:pPr>
      <w:r>
        <w:separator/>
      </w:r>
    </w:p>
  </w:footnote>
  <w:footnote w:type="continuationSeparator" w:id="0">
    <w:p w14:paraId="0A9F4864" w14:textId="77777777" w:rsidR="000A3F67" w:rsidRDefault="000A3F67" w:rsidP="00BF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95B6" w14:textId="5688DBFB" w:rsidR="008F67F5" w:rsidRDefault="00567BD5">
    <w:pPr>
      <w:pStyle w:val="Header"/>
    </w:pPr>
    <w:r>
      <w:rPr>
        <w:noProof/>
      </w:rPr>
      <w:drawing>
        <wp:anchor distT="0" distB="0" distL="114300" distR="114300" simplePos="0" relativeHeight="251658240" behindDoc="1" locked="0" layoutInCell="1" allowOverlap="1" wp14:anchorId="5B6C07BF" wp14:editId="5EDE2321">
          <wp:simplePos x="0" y="0"/>
          <wp:positionH relativeFrom="column">
            <wp:posOffset>4076700</wp:posOffset>
          </wp:positionH>
          <wp:positionV relativeFrom="paragraph">
            <wp:posOffset>-641350</wp:posOffset>
          </wp:positionV>
          <wp:extent cx="3048000" cy="1714500"/>
          <wp:effectExtent l="0" t="0" r="0" b="0"/>
          <wp:wrapNone/>
          <wp:docPr id="211476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63261" name="Picture 2114763261"/>
                  <pic:cNvPicPr/>
                </pic:nvPicPr>
                <pic:blipFill>
                  <a:blip r:embed="rId1">
                    <a:extLst>
                      <a:ext uri="{28A0092B-C50C-407E-A947-70E740481C1C}">
                        <a14:useLocalDpi xmlns:a14="http://schemas.microsoft.com/office/drawing/2010/main" val="0"/>
                      </a:ext>
                    </a:extLst>
                  </a:blip>
                  <a:stretch>
                    <a:fillRect/>
                  </a:stretch>
                </pic:blipFill>
                <pic:spPr>
                  <a:xfrm>
                    <a:off x="0" y="0"/>
                    <a:ext cx="3048646" cy="1714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5215"/>
    <w:multiLevelType w:val="hybridMultilevel"/>
    <w:tmpl w:val="68CEFCB6"/>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D32CD"/>
    <w:multiLevelType w:val="hybridMultilevel"/>
    <w:tmpl w:val="24F64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7744A"/>
    <w:multiLevelType w:val="hybridMultilevel"/>
    <w:tmpl w:val="02AE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1EB0"/>
    <w:multiLevelType w:val="hybridMultilevel"/>
    <w:tmpl w:val="05E2212C"/>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B6AB6"/>
    <w:multiLevelType w:val="hybridMultilevel"/>
    <w:tmpl w:val="3E12AAD6"/>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C7348"/>
    <w:multiLevelType w:val="hybridMultilevel"/>
    <w:tmpl w:val="E0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07739"/>
    <w:multiLevelType w:val="hybridMultilevel"/>
    <w:tmpl w:val="1D9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633B2"/>
    <w:multiLevelType w:val="hybridMultilevel"/>
    <w:tmpl w:val="D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F21F2"/>
    <w:multiLevelType w:val="hybridMultilevel"/>
    <w:tmpl w:val="0CDA8908"/>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2469D"/>
    <w:multiLevelType w:val="hybridMultilevel"/>
    <w:tmpl w:val="7DB03774"/>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726525">
    <w:abstractNumId w:val="7"/>
  </w:num>
  <w:num w:numId="2" w16cid:durableId="70590772">
    <w:abstractNumId w:val="6"/>
  </w:num>
  <w:num w:numId="3" w16cid:durableId="1719623537">
    <w:abstractNumId w:val="5"/>
  </w:num>
  <w:num w:numId="4" w16cid:durableId="651174876">
    <w:abstractNumId w:val="1"/>
  </w:num>
  <w:num w:numId="5" w16cid:durableId="136804362">
    <w:abstractNumId w:val="2"/>
  </w:num>
  <w:num w:numId="6" w16cid:durableId="2111195318">
    <w:abstractNumId w:val="0"/>
  </w:num>
  <w:num w:numId="7" w16cid:durableId="1604267025">
    <w:abstractNumId w:val="8"/>
  </w:num>
  <w:num w:numId="8" w16cid:durableId="1483276962">
    <w:abstractNumId w:val="3"/>
  </w:num>
  <w:num w:numId="9" w16cid:durableId="135950286">
    <w:abstractNumId w:val="4"/>
  </w:num>
  <w:num w:numId="10" w16cid:durableId="2137680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24D"/>
    <w:rsid w:val="00015996"/>
    <w:rsid w:val="00043A66"/>
    <w:rsid w:val="00047BC2"/>
    <w:rsid w:val="000A3F67"/>
    <w:rsid w:val="000A4E33"/>
    <w:rsid w:val="001116F7"/>
    <w:rsid w:val="001474B9"/>
    <w:rsid w:val="00262EB8"/>
    <w:rsid w:val="00295DD9"/>
    <w:rsid w:val="002B4E19"/>
    <w:rsid w:val="00324CA3"/>
    <w:rsid w:val="00396B57"/>
    <w:rsid w:val="003F0ADD"/>
    <w:rsid w:val="003F2C02"/>
    <w:rsid w:val="004334E1"/>
    <w:rsid w:val="00455B7C"/>
    <w:rsid w:val="00481D1B"/>
    <w:rsid w:val="0051582D"/>
    <w:rsid w:val="00567BD5"/>
    <w:rsid w:val="00640235"/>
    <w:rsid w:val="006C0186"/>
    <w:rsid w:val="006F1DF2"/>
    <w:rsid w:val="00710585"/>
    <w:rsid w:val="00762C8D"/>
    <w:rsid w:val="008048AC"/>
    <w:rsid w:val="0085482E"/>
    <w:rsid w:val="008A29C9"/>
    <w:rsid w:val="008C5D18"/>
    <w:rsid w:val="008E6829"/>
    <w:rsid w:val="008F67F5"/>
    <w:rsid w:val="00964E92"/>
    <w:rsid w:val="00997F53"/>
    <w:rsid w:val="009E1960"/>
    <w:rsid w:val="00A07CFA"/>
    <w:rsid w:val="00A33A96"/>
    <w:rsid w:val="00A36499"/>
    <w:rsid w:val="00A55602"/>
    <w:rsid w:val="00AC3EC4"/>
    <w:rsid w:val="00BF447D"/>
    <w:rsid w:val="00C531ED"/>
    <w:rsid w:val="00C54C44"/>
    <w:rsid w:val="00C5679D"/>
    <w:rsid w:val="00CA491F"/>
    <w:rsid w:val="00CC00BB"/>
    <w:rsid w:val="00CC4031"/>
    <w:rsid w:val="00D24416"/>
    <w:rsid w:val="00D41D0D"/>
    <w:rsid w:val="00D50766"/>
    <w:rsid w:val="00DD36DA"/>
    <w:rsid w:val="00DF7AA8"/>
    <w:rsid w:val="00E43312"/>
    <w:rsid w:val="00F7024D"/>
    <w:rsid w:val="00F77A04"/>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5561"/>
  <w15:docId w15:val="{C1E81392-6583-4C90-8C4F-1FE2F66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8D"/>
    <w:pPr>
      <w:ind w:left="720"/>
      <w:contextualSpacing/>
    </w:pPr>
  </w:style>
  <w:style w:type="paragraph" w:styleId="Header">
    <w:name w:val="header"/>
    <w:basedOn w:val="Normal"/>
    <w:link w:val="HeaderChar"/>
    <w:uiPriority w:val="99"/>
    <w:unhideWhenUsed/>
    <w:rsid w:val="00BF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7D"/>
  </w:style>
  <w:style w:type="paragraph" w:styleId="Footer">
    <w:name w:val="footer"/>
    <w:basedOn w:val="Normal"/>
    <w:link w:val="FooterChar"/>
    <w:uiPriority w:val="99"/>
    <w:unhideWhenUsed/>
    <w:rsid w:val="00BF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7D"/>
  </w:style>
  <w:style w:type="paragraph" w:styleId="BalloonText">
    <w:name w:val="Balloon Text"/>
    <w:basedOn w:val="Normal"/>
    <w:link w:val="BalloonTextChar"/>
    <w:uiPriority w:val="99"/>
    <w:semiHidden/>
    <w:unhideWhenUsed/>
    <w:rsid w:val="00BF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28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02">
          <w:marLeft w:val="0"/>
          <w:marRight w:val="0"/>
          <w:marTop w:val="0"/>
          <w:marBottom w:val="0"/>
          <w:divBdr>
            <w:top w:val="none" w:sz="0" w:space="0" w:color="auto"/>
            <w:left w:val="none" w:sz="0" w:space="0" w:color="auto"/>
            <w:bottom w:val="none" w:sz="0" w:space="0" w:color="auto"/>
            <w:right w:val="none" w:sz="0" w:space="0" w:color="auto"/>
          </w:divBdr>
        </w:div>
        <w:div w:id="1431701974">
          <w:marLeft w:val="0"/>
          <w:marRight w:val="0"/>
          <w:marTop w:val="0"/>
          <w:marBottom w:val="0"/>
          <w:divBdr>
            <w:top w:val="none" w:sz="0" w:space="0" w:color="auto"/>
            <w:left w:val="none" w:sz="0" w:space="0" w:color="auto"/>
            <w:bottom w:val="none" w:sz="0" w:space="0" w:color="auto"/>
            <w:right w:val="none" w:sz="0" w:space="0" w:color="auto"/>
          </w:divBdr>
        </w:div>
        <w:div w:id="1543636173">
          <w:marLeft w:val="0"/>
          <w:marRight w:val="0"/>
          <w:marTop w:val="0"/>
          <w:marBottom w:val="0"/>
          <w:divBdr>
            <w:top w:val="none" w:sz="0" w:space="0" w:color="auto"/>
            <w:left w:val="none" w:sz="0" w:space="0" w:color="auto"/>
            <w:bottom w:val="none" w:sz="0" w:space="0" w:color="auto"/>
            <w:right w:val="none" w:sz="0" w:space="0" w:color="auto"/>
          </w:divBdr>
        </w:div>
        <w:div w:id="819076098">
          <w:marLeft w:val="0"/>
          <w:marRight w:val="0"/>
          <w:marTop w:val="0"/>
          <w:marBottom w:val="0"/>
          <w:divBdr>
            <w:top w:val="none" w:sz="0" w:space="0" w:color="auto"/>
            <w:left w:val="none" w:sz="0" w:space="0" w:color="auto"/>
            <w:bottom w:val="none" w:sz="0" w:space="0" w:color="auto"/>
            <w:right w:val="none" w:sz="0" w:space="0" w:color="auto"/>
          </w:divBdr>
        </w:div>
        <w:div w:id="243531843">
          <w:marLeft w:val="0"/>
          <w:marRight w:val="0"/>
          <w:marTop w:val="0"/>
          <w:marBottom w:val="0"/>
          <w:divBdr>
            <w:top w:val="none" w:sz="0" w:space="0" w:color="auto"/>
            <w:left w:val="none" w:sz="0" w:space="0" w:color="auto"/>
            <w:bottom w:val="none" w:sz="0" w:space="0" w:color="auto"/>
            <w:right w:val="none" w:sz="0" w:space="0" w:color="auto"/>
          </w:divBdr>
        </w:div>
        <w:div w:id="515967591">
          <w:marLeft w:val="0"/>
          <w:marRight w:val="0"/>
          <w:marTop w:val="0"/>
          <w:marBottom w:val="0"/>
          <w:divBdr>
            <w:top w:val="none" w:sz="0" w:space="0" w:color="auto"/>
            <w:left w:val="none" w:sz="0" w:space="0" w:color="auto"/>
            <w:bottom w:val="none" w:sz="0" w:space="0" w:color="auto"/>
            <w:right w:val="none" w:sz="0" w:space="0" w:color="auto"/>
          </w:divBdr>
        </w:div>
        <w:div w:id="191651729">
          <w:marLeft w:val="0"/>
          <w:marRight w:val="0"/>
          <w:marTop w:val="0"/>
          <w:marBottom w:val="0"/>
          <w:divBdr>
            <w:top w:val="none" w:sz="0" w:space="0" w:color="auto"/>
            <w:left w:val="none" w:sz="0" w:space="0" w:color="auto"/>
            <w:bottom w:val="none" w:sz="0" w:space="0" w:color="auto"/>
            <w:right w:val="none" w:sz="0" w:space="0" w:color="auto"/>
          </w:divBdr>
        </w:div>
        <w:div w:id="1910536415">
          <w:marLeft w:val="0"/>
          <w:marRight w:val="0"/>
          <w:marTop w:val="0"/>
          <w:marBottom w:val="0"/>
          <w:divBdr>
            <w:top w:val="none" w:sz="0" w:space="0" w:color="auto"/>
            <w:left w:val="none" w:sz="0" w:space="0" w:color="auto"/>
            <w:bottom w:val="none" w:sz="0" w:space="0" w:color="auto"/>
            <w:right w:val="none" w:sz="0" w:space="0" w:color="auto"/>
          </w:divBdr>
        </w:div>
        <w:div w:id="939066984">
          <w:marLeft w:val="0"/>
          <w:marRight w:val="0"/>
          <w:marTop w:val="0"/>
          <w:marBottom w:val="0"/>
          <w:divBdr>
            <w:top w:val="none" w:sz="0" w:space="0" w:color="auto"/>
            <w:left w:val="none" w:sz="0" w:space="0" w:color="auto"/>
            <w:bottom w:val="none" w:sz="0" w:space="0" w:color="auto"/>
            <w:right w:val="none" w:sz="0" w:space="0" w:color="auto"/>
          </w:divBdr>
        </w:div>
        <w:div w:id="1044713251">
          <w:marLeft w:val="0"/>
          <w:marRight w:val="0"/>
          <w:marTop w:val="0"/>
          <w:marBottom w:val="0"/>
          <w:divBdr>
            <w:top w:val="none" w:sz="0" w:space="0" w:color="auto"/>
            <w:left w:val="none" w:sz="0" w:space="0" w:color="auto"/>
            <w:bottom w:val="none" w:sz="0" w:space="0" w:color="auto"/>
            <w:right w:val="none" w:sz="0" w:space="0" w:color="auto"/>
          </w:divBdr>
        </w:div>
        <w:div w:id="1351682126">
          <w:marLeft w:val="0"/>
          <w:marRight w:val="0"/>
          <w:marTop w:val="0"/>
          <w:marBottom w:val="0"/>
          <w:divBdr>
            <w:top w:val="none" w:sz="0" w:space="0" w:color="auto"/>
            <w:left w:val="none" w:sz="0" w:space="0" w:color="auto"/>
            <w:bottom w:val="none" w:sz="0" w:space="0" w:color="auto"/>
            <w:right w:val="none" w:sz="0" w:space="0" w:color="auto"/>
          </w:divBdr>
        </w:div>
        <w:div w:id="887062170">
          <w:marLeft w:val="0"/>
          <w:marRight w:val="0"/>
          <w:marTop w:val="0"/>
          <w:marBottom w:val="0"/>
          <w:divBdr>
            <w:top w:val="none" w:sz="0" w:space="0" w:color="auto"/>
            <w:left w:val="none" w:sz="0" w:space="0" w:color="auto"/>
            <w:bottom w:val="none" w:sz="0" w:space="0" w:color="auto"/>
            <w:right w:val="none" w:sz="0" w:space="0" w:color="auto"/>
          </w:divBdr>
        </w:div>
        <w:div w:id="417411023">
          <w:marLeft w:val="0"/>
          <w:marRight w:val="0"/>
          <w:marTop w:val="0"/>
          <w:marBottom w:val="0"/>
          <w:divBdr>
            <w:top w:val="none" w:sz="0" w:space="0" w:color="auto"/>
            <w:left w:val="none" w:sz="0" w:space="0" w:color="auto"/>
            <w:bottom w:val="none" w:sz="0" w:space="0" w:color="auto"/>
            <w:right w:val="none" w:sz="0" w:space="0" w:color="auto"/>
          </w:divBdr>
        </w:div>
        <w:div w:id="75000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Props1.xml><?xml version="1.0" encoding="utf-8"?>
<ds:datastoreItem xmlns:ds="http://schemas.openxmlformats.org/officeDocument/2006/customXml" ds:itemID="{BD9CB74F-646D-4349-96A7-905C4D83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67576c-7523-42bb-8f0c-69c7f63c2dac"/>
    <ds:schemaRef ds:uri="044759fe-3326-4f84-acc4-6ac823f26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20131-733F-4135-A041-C4CD1BB868AB}">
  <ds:schemaRefs>
    <ds:schemaRef ds:uri="http://schemas.microsoft.com/sharepoint/v3/contenttype/forms"/>
  </ds:schemaRefs>
</ds:datastoreItem>
</file>

<file path=customXml/itemProps3.xml><?xml version="1.0" encoding="utf-8"?>
<ds:datastoreItem xmlns:ds="http://schemas.openxmlformats.org/officeDocument/2006/customXml" ds:itemID="{A1A5CC6C-095F-4733-8A0D-BA30AD3E91DE}">
  <ds:schemaRefs>
    <ds:schemaRef ds:uri="http://schemas.microsoft.com/office/2006/metadata/properties"/>
    <ds:schemaRef ds:uri="http://schemas.microsoft.com/office/infopath/2007/PartnerControls"/>
    <ds:schemaRef ds:uri="http://schemas.microsoft.com/sharepoint/v3"/>
    <ds:schemaRef ds:uri="8867576c-7523-42bb-8f0c-69c7f63c2dac"/>
    <ds:schemaRef ds:uri="044759fe-3326-4f84-acc4-6ac823f2698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Stadelberger</dc:creator>
  <cp:lastModifiedBy>Angele Tran</cp:lastModifiedBy>
  <cp:revision>29</cp:revision>
  <dcterms:created xsi:type="dcterms:W3CDTF">2014-10-13T21:15:00Z</dcterms:created>
  <dcterms:modified xsi:type="dcterms:W3CDTF">2026-01-13T13:54:00Z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21164100</vt:r8>
  </property>
  <property fmtid="{D5CDD505-2E9C-101B-9397-08002B2CF9AE}" pid="4" name="MediaServiceImageTags">
    <vt:lpwstr/>
  </property>
  <property fmtid="{D5CDD505-2E9C-101B-9397-08002B2CF9AE}" pid="6" name="docLang">
    <vt:lpwstr>en</vt:lpwstr>
  </property>
</Properties>
</file>